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6A" w:rsidRDefault="00B9156A">
      <w:pPr>
        <w:spacing w:before="240" w:after="240"/>
        <w:jc w:val="center"/>
        <w:rPr>
          <w:b/>
          <w:sz w:val="28"/>
        </w:rPr>
      </w:pPr>
    </w:p>
    <w:p w:rsidR="00B9156A" w:rsidRDefault="00B9156A">
      <w:pPr>
        <w:spacing w:before="240" w:after="240"/>
        <w:jc w:val="center"/>
        <w:rPr>
          <w:b/>
          <w:sz w:val="28"/>
        </w:rPr>
      </w:pPr>
    </w:p>
    <w:p w:rsidR="00B9156A" w:rsidRDefault="00B9156A">
      <w:pPr>
        <w:spacing w:before="240" w:after="240"/>
        <w:jc w:val="center"/>
        <w:rPr>
          <w:b/>
          <w:sz w:val="28"/>
        </w:rPr>
      </w:pPr>
      <w:r>
        <w:rPr>
          <w:b/>
          <w:sz w:val="28"/>
        </w:rPr>
        <w:t>************************</w:t>
      </w:r>
    </w:p>
    <w:p w:rsidR="00B9156A" w:rsidRDefault="0013603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CONSEIL D’ADMINISTRATION DU </w:t>
      </w:r>
      <w:r w:rsidR="001B7C9A">
        <w:rPr>
          <w:b/>
          <w:sz w:val="28"/>
          <w:u w:val="single"/>
        </w:rPr>
        <w:t>1</w:t>
      </w:r>
      <w:r w:rsidR="00467C8E">
        <w:rPr>
          <w:b/>
          <w:sz w:val="28"/>
          <w:u w:val="single"/>
        </w:rPr>
        <w:t>4</w:t>
      </w:r>
      <w:r w:rsidR="001B7C9A">
        <w:rPr>
          <w:b/>
          <w:sz w:val="28"/>
          <w:u w:val="single"/>
        </w:rPr>
        <w:t xml:space="preserve"> DECEMBRE</w:t>
      </w:r>
      <w:r>
        <w:rPr>
          <w:b/>
          <w:sz w:val="28"/>
          <w:u w:val="single"/>
        </w:rPr>
        <w:t xml:space="preserve"> </w:t>
      </w:r>
      <w:r w:rsidR="00A277B3">
        <w:rPr>
          <w:b/>
          <w:sz w:val="28"/>
          <w:u w:val="single"/>
        </w:rPr>
        <w:t>202</w:t>
      </w:r>
      <w:r w:rsidR="0022419B">
        <w:rPr>
          <w:b/>
          <w:sz w:val="28"/>
          <w:u w:val="single"/>
        </w:rPr>
        <w:t>1</w:t>
      </w:r>
    </w:p>
    <w:p w:rsidR="00B9156A" w:rsidRDefault="00B9156A">
      <w:pPr>
        <w:spacing w:before="360"/>
        <w:ind w:firstLine="851"/>
        <w:jc w:val="both"/>
      </w:pPr>
      <w:r>
        <w:t xml:space="preserve">L’an deux mil </w:t>
      </w:r>
      <w:r w:rsidR="00320EF6">
        <w:t>vingt</w:t>
      </w:r>
      <w:r w:rsidR="00D14C8B">
        <w:t>-et-un</w:t>
      </w:r>
      <w:r>
        <w:t xml:space="preserve">, le </w:t>
      </w:r>
      <w:r w:rsidR="00EA2405">
        <w:t xml:space="preserve">mardi </w:t>
      </w:r>
      <w:r w:rsidR="00D272AA">
        <w:t>qu</w:t>
      </w:r>
      <w:r w:rsidR="00360D41">
        <w:t>atorze</w:t>
      </w:r>
      <w:r w:rsidR="00D272AA">
        <w:t xml:space="preserve"> décembre</w:t>
      </w:r>
      <w:r>
        <w:t xml:space="preserve">, à </w:t>
      </w:r>
      <w:r w:rsidR="00D272AA">
        <w:t>dix</w:t>
      </w:r>
      <w:r w:rsidR="00401A5B">
        <w:t xml:space="preserve"> </w:t>
      </w:r>
      <w:r>
        <w:t>heures, le Conseil d’Administration du Centre Communal d’Action Sociale s’est réuni sous la présidence de</w:t>
      </w:r>
      <w:r w:rsidR="0022419B" w:rsidRPr="0022419B">
        <w:t xml:space="preserve"> </w:t>
      </w:r>
      <w:r w:rsidR="0022419B">
        <w:t>M. ROLLET</w:t>
      </w:r>
      <w:r>
        <w:t xml:space="preserve">, </w:t>
      </w:r>
      <w:r w:rsidR="0022419B">
        <w:t>Conseiller municipal délégué</w:t>
      </w:r>
      <w:r w:rsidR="00360D41">
        <w:t xml:space="preserve"> aux Affaires Sociales</w:t>
      </w:r>
    </w:p>
    <w:p w:rsidR="00401A5B" w:rsidRDefault="00401A5B" w:rsidP="00401A5B">
      <w:pPr>
        <w:spacing w:before="240" w:after="120"/>
        <w:jc w:val="both"/>
      </w:pPr>
      <w:r>
        <w:rPr>
          <w:b/>
          <w:u w:val="single"/>
        </w:rPr>
        <w:t xml:space="preserve">Etaient présents : </w:t>
      </w:r>
    </w:p>
    <w:p w:rsidR="00950642" w:rsidRDefault="00950642" w:rsidP="00D272AA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>M</w:t>
      </w:r>
      <w:r w:rsidR="00D272AA">
        <w:t>. Jean-Pierre BALY, con</w:t>
      </w:r>
      <w:r>
        <w:t>seill</w:t>
      </w:r>
      <w:r w:rsidR="00D272AA">
        <w:t>er</w:t>
      </w:r>
      <w:r>
        <w:t xml:space="preserve"> municipal</w:t>
      </w:r>
    </w:p>
    <w:p w:rsidR="00950642" w:rsidRDefault="00950642" w:rsidP="00D272AA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>M. Benoît CARLIEZ</w:t>
      </w:r>
      <w:r w:rsidR="00D272AA">
        <w:t>, « Le Grenier »</w:t>
      </w:r>
    </w:p>
    <w:p w:rsidR="00CA427D" w:rsidRDefault="00CA427D" w:rsidP="00D272AA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>Mme Catherine DUCREUX, Conseillère municipale</w:t>
      </w:r>
    </w:p>
    <w:p w:rsidR="0022419B" w:rsidRDefault="0022419B" w:rsidP="0022419B">
      <w:pPr>
        <w:numPr>
          <w:ilvl w:val="0"/>
          <w:numId w:val="10"/>
        </w:numPr>
        <w:spacing w:before="100" w:beforeAutospacing="1" w:after="100" w:afterAutospacing="1"/>
        <w:ind w:left="1349" w:hanging="357"/>
        <w:jc w:val="both"/>
      </w:pPr>
      <w:r>
        <w:t>M. Hector FEREOL, association Louis Delamare</w:t>
      </w:r>
    </w:p>
    <w:p w:rsidR="00EA2405" w:rsidRDefault="00A16AD4" w:rsidP="00D272AA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Mme Odile FISCHER, Adjoint au Maire </w:t>
      </w:r>
    </w:p>
    <w:p w:rsidR="00D272AA" w:rsidRDefault="00D272AA" w:rsidP="00D272AA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>Mme Catherine GAGNEUX, « Banque alimentaire »</w:t>
      </w:r>
    </w:p>
    <w:p w:rsidR="00401A5B" w:rsidRDefault="00401A5B" w:rsidP="00D272AA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>M. Régis LALLEMAND, Conseiller Municipal</w:t>
      </w:r>
      <w:r w:rsidR="00D272AA">
        <w:t xml:space="preserve"> délégué</w:t>
      </w:r>
    </w:p>
    <w:p w:rsidR="00D272AA" w:rsidRDefault="00D272AA" w:rsidP="00D272AA">
      <w:pPr>
        <w:numPr>
          <w:ilvl w:val="0"/>
          <w:numId w:val="10"/>
        </w:numPr>
        <w:spacing w:before="100" w:beforeAutospacing="1" w:after="100" w:afterAutospacing="1"/>
        <w:ind w:left="1349" w:hanging="357"/>
        <w:jc w:val="both"/>
      </w:pPr>
      <w:r>
        <w:t>M. Jean-Pierre ROLLET, conseiller municipal délégué</w:t>
      </w:r>
    </w:p>
    <w:p w:rsidR="00D272AA" w:rsidRDefault="00D272AA" w:rsidP="00D272AA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>M. Gilles CANAYER, Directeur général des services</w:t>
      </w:r>
    </w:p>
    <w:p w:rsidR="00401A5B" w:rsidRDefault="00D272AA" w:rsidP="00192A84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>Mme Aurélie GOMEZ, employée du CCAS</w:t>
      </w:r>
    </w:p>
    <w:p w:rsidR="00D61483" w:rsidRDefault="00401A5B" w:rsidP="00E66935">
      <w:pPr>
        <w:spacing w:before="240" w:after="240"/>
        <w:jc w:val="both"/>
      </w:pPr>
      <w:r>
        <w:rPr>
          <w:b/>
          <w:u w:val="single"/>
        </w:rPr>
        <w:t>Etaient absents</w:t>
      </w:r>
      <w:r w:rsidR="00950642">
        <w:rPr>
          <w:b/>
          <w:u w:val="single"/>
        </w:rPr>
        <w:t> :</w:t>
      </w:r>
    </w:p>
    <w:p w:rsidR="00D272AA" w:rsidRDefault="00D272AA" w:rsidP="00D272AA">
      <w:pPr>
        <w:numPr>
          <w:ilvl w:val="0"/>
          <w:numId w:val="10"/>
        </w:numPr>
        <w:spacing w:before="100" w:beforeAutospacing="1" w:after="100" w:afterAutospacing="1"/>
        <w:ind w:left="1349" w:hanging="357"/>
        <w:jc w:val="both"/>
      </w:pPr>
      <w:r>
        <w:t>M. Jean-Pierre BARON, « Conférence Saint-Vincent de Paul »</w:t>
      </w:r>
    </w:p>
    <w:p w:rsidR="00D272AA" w:rsidRDefault="00D272AA" w:rsidP="00D272AA">
      <w:pPr>
        <w:numPr>
          <w:ilvl w:val="0"/>
          <w:numId w:val="10"/>
        </w:numPr>
        <w:spacing w:before="100" w:beforeAutospacing="1" w:after="100" w:afterAutospacing="1"/>
        <w:ind w:left="1349" w:hanging="357"/>
        <w:jc w:val="both"/>
      </w:pPr>
      <w:r>
        <w:t>M. Christian DUBOIS, « Ordre de Malte »</w:t>
      </w:r>
      <w:r w:rsidR="0022419B">
        <w:t xml:space="preserve"> (pouvoir à M. BALY)</w:t>
      </w:r>
    </w:p>
    <w:p w:rsidR="00D272AA" w:rsidRDefault="00D272AA" w:rsidP="00D272AA">
      <w:pPr>
        <w:numPr>
          <w:ilvl w:val="0"/>
          <w:numId w:val="10"/>
        </w:numPr>
        <w:spacing w:before="100" w:beforeAutospacing="1" w:after="100" w:afterAutospacing="1"/>
        <w:ind w:left="1349" w:hanging="357"/>
        <w:jc w:val="both"/>
      </w:pPr>
      <w:r>
        <w:t xml:space="preserve">Hubert DEJEAN DE LA BÂTIE, président du C.C.A.S </w:t>
      </w:r>
      <w:r w:rsidR="00360D41">
        <w:t>(pouvoir à Mme FISCHER)</w:t>
      </w:r>
    </w:p>
    <w:p w:rsidR="00D272AA" w:rsidRDefault="00D272AA" w:rsidP="00D272AA">
      <w:pPr>
        <w:numPr>
          <w:ilvl w:val="0"/>
          <w:numId w:val="10"/>
        </w:numPr>
        <w:spacing w:before="100" w:beforeAutospacing="1" w:after="100" w:afterAutospacing="1"/>
        <w:ind w:left="1349" w:hanging="357"/>
        <w:jc w:val="both"/>
      </w:pPr>
      <w:r>
        <w:t xml:space="preserve">Mme </w:t>
      </w:r>
      <w:r w:rsidR="00104686">
        <w:t>ETIENNE</w:t>
      </w:r>
      <w:r>
        <w:t>,</w:t>
      </w:r>
      <w:r w:rsidRPr="00D272AA">
        <w:t xml:space="preserve"> </w:t>
      </w:r>
      <w:r>
        <w:t>assistante sociale</w:t>
      </w:r>
    </w:p>
    <w:p w:rsidR="0022419B" w:rsidRDefault="0022419B" w:rsidP="00D272AA">
      <w:pPr>
        <w:numPr>
          <w:ilvl w:val="0"/>
          <w:numId w:val="10"/>
        </w:numPr>
        <w:spacing w:before="100" w:beforeAutospacing="1" w:after="100" w:afterAutospacing="1"/>
        <w:ind w:left="1349" w:hanging="357"/>
        <w:jc w:val="both"/>
      </w:pPr>
      <w:r>
        <w:t>Mme Claire MAS</w:t>
      </w:r>
      <w:r w:rsidR="00360D41">
        <w:t>,</w:t>
      </w:r>
      <w:r w:rsidR="00360D41" w:rsidRPr="00360D41">
        <w:t xml:space="preserve"> </w:t>
      </w:r>
      <w:r w:rsidR="00360D41">
        <w:t xml:space="preserve">Vice-Présidente </w:t>
      </w:r>
      <w:r w:rsidR="00CA427D">
        <w:t xml:space="preserve">du C.C.A.S. </w:t>
      </w:r>
      <w:r w:rsidR="00360D41">
        <w:t>(pouvoir à M. ROLLET)</w:t>
      </w:r>
    </w:p>
    <w:p w:rsidR="00D272AA" w:rsidRDefault="00D272AA" w:rsidP="00D272AA">
      <w:pPr>
        <w:numPr>
          <w:ilvl w:val="0"/>
          <w:numId w:val="10"/>
        </w:numPr>
        <w:spacing w:before="100" w:beforeAutospacing="1" w:after="100" w:afterAutospacing="1"/>
        <w:ind w:left="1349" w:hanging="357"/>
        <w:jc w:val="both"/>
      </w:pPr>
      <w:r>
        <w:t>Mme Christiane MORICE, « Vaincre la solitude »</w:t>
      </w:r>
    </w:p>
    <w:p w:rsidR="00D272AA" w:rsidRDefault="00401A5B" w:rsidP="00D272AA">
      <w:pPr>
        <w:numPr>
          <w:ilvl w:val="0"/>
          <w:numId w:val="10"/>
        </w:numPr>
        <w:spacing w:before="100" w:beforeAutospacing="1" w:after="100" w:afterAutospacing="1"/>
        <w:jc w:val="both"/>
      </w:pPr>
      <w:r>
        <w:t xml:space="preserve">M. </w:t>
      </w:r>
      <w:r w:rsidR="00EA2405">
        <w:t>Roland RICA</w:t>
      </w:r>
      <w:r>
        <w:t>, Trésorier du Havre Municipal</w:t>
      </w:r>
    </w:p>
    <w:p w:rsidR="00B9156A" w:rsidRDefault="00B9156A">
      <w:pPr>
        <w:spacing w:before="360" w:after="240"/>
        <w:jc w:val="center"/>
      </w:pPr>
      <w:r>
        <w:t>***********************</w:t>
      </w:r>
    </w:p>
    <w:p w:rsidR="00B9156A" w:rsidRDefault="00B9156A">
      <w:pPr>
        <w:jc w:val="both"/>
        <w:rPr>
          <w:b/>
          <w:u w:val="single"/>
        </w:rPr>
      </w:pPr>
      <w:r>
        <w:rPr>
          <w:b/>
          <w:u w:val="single"/>
        </w:rPr>
        <w:t>ORDRE DU JOUR</w:t>
      </w:r>
    </w:p>
    <w:p w:rsidR="000B798B" w:rsidRPr="00E02D20" w:rsidRDefault="000B798B">
      <w:pPr>
        <w:jc w:val="both"/>
        <w:rPr>
          <w:b/>
          <w:sz w:val="16"/>
          <w:szCs w:val="16"/>
          <w:u w:val="single"/>
        </w:rPr>
      </w:pPr>
    </w:p>
    <w:p w:rsidR="00360D41" w:rsidRPr="00553C3D" w:rsidRDefault="00360D41" w:rsidP="00E02D20">
      <w:pPr>
        <w:numPr>
          <w:ilvl w:val="0"/>
          <w:numId w:val="31"/>
        </w:numPr>
        <w:spacing w:before="240"/>
        <w:ind w:left="924" w:hanging="357"/>
        <w:rPr>
          <w:rFonts w:ascii="Arial" w:hAnsi="Arial"/>
          <w:i/>
        </w:rPr>
      </w:pPr>
      <w:r w:rsidRPr="00553C3D">
        <w:rPr>
          <w:rFonts w:ascii="Arial" w:hAnsi="Arial"/>
          <w:i/>
        </w:rPr>
        <w:t xml:space="preserve">Approbation du dernier Procès-Verbal du </w:t>
      </w:r>
      <w:r>
        <w:rPr>
          <w:rFonts w:ascii="Arial" w:hAnsi="Arial"/>
          <w:i/>
        </w:rPr>
        <w:t>14</w:t>
      </w:r>
      <w:r w:rsidRPr="00553C3D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septem</w:t>
      </w:r>
      <w:r w:rsidRPr="00553C3D">
        <w:rPr>
          <w:rFonts w:ascii="Arial" w:hAnsi="Arial"/>
          <w:i/>
        </w:rPr>
        <w:t>bre 20</w:t>
      </w:r>
      <w:r>
        <w:rPr>
          <w:rFonts w:ascii="Arial" w:hAnsi="Arial"/>
          <w:i/>
        </w:rPr>
        <w:t>21</w:t>
      </w:r>
    </w:p>
    <w:p w:rsidR="00360D41" w:rsidRDefault="00360D41" w:rsidP="00360D41">
      <w:pPr>
        <w:numPr>
          <w:ilvl w:val="0"/>
          <w:numId w:val="31"/>
        </w:numPr>
        <w:suppressAutoHyphens/>
        <w:autoSpaceDN/>
        <w:adjustRightInd/>
        <w:spacing w:before="120"/>
        <w:rPr>
          <w:rFonts w:ascii="Arial" w:hAnsi="Arial"/>
          <w:i/>
        </w:rPr>
      </w:pPr>
      <w:r w:rsidRPr="00F60995">
        <w:rPr>
          <w:rFonts w:ascii="Arial" w:hAnsi="Arial"/>
          <w:i/>
        </w:rPr>
        <w:t>Débat d’orientation budgétaire</w:t>
      </w:r>
    </w:p>
    <w:p w:rsidR="00360D41" w:rsidRDefault="00360D41" w:rsidP="00360D41">
      <w:pPr>
        <w:numPr>
          <w:ilvl w:val="0"/>
          <w:numId w:val="31"/>
        </w:numPr>
        <w:spacing w:before="120"/>
        <w:rPr>
          <w:rFonts w:ascii="Arial" w:hAnsi="Arial"/>
          <w:i/>
        </w:rPr>
      </w:pPr>
      <w:r>
        <w:rPr>
          <w:rFonts w:ascii="Arial" w:hAnsi="Arial"/>
          <w:i/>
        </w:rPr>
        <w:t>Proposition de changement de barèmes pour les aides mensuelles</w:t>
      </w:r>
    </w:p>
    <w:p w:rsidR="00360D41" w:rsidRPr="001D7C6B" w:rsidRDefault="00360D41" w:rsidP="00360D41">
      <w:pPr>
        <w:numPr>
          <w:ilvl w:val="0"/>
          <w:numId w:val="31"/>
        </w:numPr>
        <w:spacing w:before="120"/>
        <w:rPr>
          <w:rFonts w:ascii="Arial" w:hAnsi="Arial"/>
          <w:i/>
        </w:rPr>
      </w:pPr>
      <w:r>
        <w:rPr>
          <w:rFonts w:ascii="Arial" w:hAnsi="Arial"/>
          <w:i/>
        </w:rPr>
        <w:t>Modification de la délibération 04-290417 sur les revenus de capitaux mobiliers</w:t>
      </w:r>
    </w:p>
    <w:p w:rsidR="00360D41" w:rsidRDefault="00360D41" w:rsidP="00360D41">
      <w:pPr>
        <w:numPr>
          <w:ilvl w:val="0"/>
          <w:numId w:val="31"/>
        </w:numPr>
        <w:suppressAutoHyphens/>
        <w:autoSpaceDN/>
        <w:adjustRightInd/>
        <w:spacing w:before="120"/>
        <w:rPr>
          <w:rFonts w:ascii="Arial" w:hAnsi="Arial"/>
          <w:i/>
        </w:rPr>
      </w:pPr>
      <w:r>
        <w:rPr>
          <w:rFonts w:ascii="Arial" w:hAnsi="Arial"/>
          <w:i/>
        </w:rPr>
        <w:t xml:space="preserve">Point sur les aides </w:t>
      </w:r>
    </w:p>
    <w:p w:rsidR="00360D41" w:rsidRDefault="00360D41" w:rsidP="00360D41">
      <w:pPr>
        <w:numPr>
          <w:ilvl w:val="0"/>
          <w:numId w:val="31"/>
        </w:numPr>
        <w:suppressAutoHyphens/>
        <w:autoSpaceDN/>
        <w:adjustRightInd/>
        <w:spacing w:before="120"/>
        <w:rPr>
          <w:rFonts w:ascii="Arial" w:hAnsi="Arial"/>
          <w:i/>
        </w:rPr>
      </w:pPr>
      <w:r>
        <w:rPr>
          <w:rFonts w:ascii="Arial" w:hAnsi="Arial"/>
          <w:i/>
        </w:rPr>
        <w:t>Questions diverses</w:t>
      </w:r>
    </w:p>
    <w:p w:rsidR="000B798B" w:rsidRPr="000B798B" w:rsidRDefault="000B798B" w:rsidP="00D272AA">
      <w:pPr>
        <w:suppressAutoHyphens/>
        <w:autoSpaceDN/>
        <w:adjustRightInd/>
        <w:spacing w:before="120"/>
        <w:ind w:left="927"/>
        <w:rPr>
          <w:rFonts w:ascii="Arial" w:hAnsi="Arial"/>
          <w:i/>
          <w:lang w:eastAsia="ar-SA"/>
        </w:rPr>
      </w:pPr>
    </w:p>
    <w:p w:rsidR="0016425A" w:rsidRDefault="0016425A" w:rsidP="004078A3">
      <w:pPr>
        <w:ind w:firstLine="993"/>
        <w:jc w:val="both"/>
      </w:pPr>
      <w:r>
        <w:t>En hommage à Mme GELARD, membre du conseil d’administration du C.C.A.S. pendant près de 20 ans, est respectée une minute de silence.</w:t>
      </w:r>
    </w:p>
    <w:p w:rsidR="0016425A" w:rsidRDefault="0016425A" w:rsidP="004078A3">
      <w:pPr>
        <w:ind w:firstLine="993"/>
        <w:jc w:val="both"/>
      </w:pPr>
    </w:p>
    <w:p w:rsidR="004078A3" w:rsidRDefault="004078A3" w:rsidP="004078A3">
      <w:pPr>
        <w:ind w:firstLine="993"/>
        <w:jc w:val="both"/>
      </w:pPr>
      <w:r w:rsidRPr="00D24BB2">
        <w:lastRenderedPageBreak/>
        <w:t>M</w:t>
      </w:r>
      <w:r w:rsidR="00360D41">
        <w:t>onsieur Jean-Pierre ROLLET</w:t>
      </w:r>
      <w:r w:rsidRPr="00D24BB2">
        <w:t xml:space="preserve"> soumet à l’approbation du Conseil d’Administration le dernier procès-verbal en date du </w:t>
      </w:r>
      <w:r w:rsidR="00360D41">
        <w:t>14</w:t>
      </w:r>
      <w:r w:rsidR="00650F04">
        <w:t xml:space="preserve"> septembre</w:t>
      </w:r>
      <w:r w:rsidRPr="00D24BB2">
        <w:t xml:space="preserve"> 20</w:t>
      </w:r>
      <w:r w:rsidR="00650F04">
        <w:t>2</w:t>
      </w:r>
      <w:r w:rsidR="00360D41">
        <w:t>1</w:t>
      </w:r>
      <w:r w:rsidRPr="00D24BB2">
        <w:t>.</w:t>
      </w:r>
    </w:p>
    <w:p w:rsidR="00D24BB2" w:rsidRPr="00D24BB2" w:rsidRDefault="00D24BB2" w:rsidP="004078A3">
      <w:pPr>
        <w:ind w:firstLine="993"/>
        <w:jc w:val="both"/>
      </w:pPr>
    </w:p>
    <w:p w:rsidR="004078A3" w:rsidRDefault="004078A3" w:rsidP="004078A3">
      <w:pPr>
        <w:ind w:firstLine="567"/>
        <w:jc w:val="both"/>
        <w:rPr>
          <w:i/>
        </w:rPr>
      </w:pPr>
      <w:r w:rsidRPr="002F2FB8">
        <w:rPr>
          <w:i/>
        </w:rPr>
        <w:t>Celui-ci est approuvé à l’unanimité.</w:t>
      </w:r>
    </w:p>
    <w:p w:rsidR="0016425A" w:rsidRPr="002F2FB8" w:rsidRDefault="0016425A" w:rsidP="004078A3">
      <w:pPr>
        <w:ind w:firstLine="567"/>
        <w:jc w:val="both"/>
        <w:rPr>
          <w:i/>
        </w:rPr>
      </w:pPr>
    </w:p>
    <w:p w:rsidR="00A16AD4" w:rsidRPr="00184B9A" w:rsidRDefault="00A16AD4" w:rsidP="00A16AD4">
      <w:pPr>
        <w:pStyle w:val="Titre1"/>
        <w:spacing w:before="0" w:after="100" w:afterAutospacing="1"/>
      </w:pPr>
      <w:r>
        <w:t>DEBAT D’ORIENTATION BUDGETAIRE</w:t>
      </w:r>
      <w:r w:rsidR="007C3A28">
        <w:t xml:space="preserve"> </w:t>
      </w:r>
      <w:r w:rsidR="000B798B">
        <w:t>202</w:t>
      </w:r>
      <w:r w:rsidR="00650F04">
        <w:t>1</w:t>
      </w:r>
    </w:p>
    <w:p w:rsidR="00A16AD4" w:rsidRDefault="0079606D" w:rsidP="00A16AD4">
      <w:pPr>
        <w:ind w:firstLine="567"/>
        <w:jc w:val="both"/>
      </w:pPr>
      <w:r>
        <w:t>M</w:t>
      </w:r>
      <w:r w:rsidR="00360D41">
        <w:t>onsieur ROLLET</w:t>
      </w:r>
      <w:r>
        <w:t xml:space="preserve"> passe la parole à Monsieur CANAYER.</w:t>
      </w:r>
    </w:p>
    <w:p w:rsidR="006250A7" w:rsidRDefault="0079606D" w:rsidP="00650F04">
      <w:pPr>
        <w:ind w:firstLine="567"/>
        <w:jc w:val="both"/>
      </w:pPr>
      <w:r>
        <w:t xml:space="preserve">Monsieur CANAYER </w:t>
      </w:r>
      <w:r w:rsidR="006400B9">
        <w:t>indique</w:t>
      </w:r>
      <w:r w:rsidR="00650F04">
        <w:t xml:space="preserve"> qu’une note a été rédigée pour présenter </w:t>
      </w:r>
      <w:r w:rsidR="00065C49">
        <w:t>les prin</w:t>
      </w:r>
      <w:r w:rsidR="00FC1A73">
        <w:t>cipales données du budget 202</w:t>
      </w:r>
      <w:r w:rsidR="00360D41">
        <w:t>2</w:t>
      </w:r>
      <w:r w:rsidR="00FC1A73">
        <w:t>.</w:t>
      </w:r>
    </w:p>
    <w:p w:rsidR="00650F04" w:rsidRDefault="006400B9" w:rsidP="00650F04">
      <w:pPr>
        <w:ind w:firstLine="567"/>
        <w:jc w:val="both"/>
      </w:pPr>
      <w:r>
        <w:t xml:space="preserve">Il </w:t>
      </w:r>
      <w:r w:rsidR="00360D41">
        <w:t>explique que l’o</w:t>
      </w:r>
      <w:r>
        <w:t xml:space="preserve">n ne s’appuie </w:t>
      </w:r>
      <w:r w:rsidR="00360D41">
        <w:t>pas</w:t>
      </w:r>
      <w:r>
        <w:t xml:space="preserve"> sur l’exercice réel, il y a donc </w:t>
      </w:r>
      <w:r w:rsidR="002624C1">
        <w:t>moins de précisions</w:t>
      </w:r>
      <w:r>
        <w:t xml:space="preserve"> dans les prévisions.</w:t>
      </w:r>
      <w:r w:rsidR="002624C1">
        <w:t xml:space="preserve"> </w:t>
      </w:r>
    </w:p>
    <w:p w:rsidR="00650F04" w:rsidRDefault="002624C1" w:rsidP="00650F04">
      <w:pPr>
        <w:ind w:firstLine="567"/>
        <w:jc w:val="both"/>
      </w:pPr>
      <w:r>
        <w:t>Monsieur CANAYER rappelle que le Débat d’Orientation Budgétaire est un exercice obligatoire prévu par le Code Général des Collectivités Territoriales qui impose que le budget 202</w:t>
      </w:r>
      <w:r w:rsidR="00360D41">
        <w:t>2</w:t>
      </w:r>
      <w:r>
        <w:t xml:space="preserve"> soit voté dans les 2 mois après ce D.O.B.</w:t>
      </w:r>
    </w:p>
    <w:p w:rsidR="00650F04" w:rsidRDefault="00CE3F70" w:rsidP="00650F04">
      <w:pPr>
        <w:ind w:firstLine="567"/>
        <w:jc w:val="both"/>
      </w:pPr>
      <w:r>
        <w:t xml:space="preserve">Il évoque le contexte général. Il explique </w:t>
      </w:r>
      <w:r w:rsidR="00BB70EE">
        <w:t>qu</w:t>
      </w:r>
      <w:r w:rsidR="0016425A">
        <w:t>e l</w:t>
      </w:r>
      <w:r w:rsidR="00BB70EE">
        <w:t xml:space="preserve">’on s’attendait à une augmentation des dépenses à cause </w:t>
      </w:r>
      <w:r>
        <w:t xml:space="preserve">du COVID </w:t>
      </w:r>
      <w:r w:rsidR="00BB70EE">
        <w:t>mais les effets ont été limités</w:t>
      </w:r>
      <w:r>
        <w:t xml:space="preserve"> sur le budget </w:t>
      </w:r>
      <w:r w:rsidR="00BB70EE">
        <w:t xml:space="preserve">2021 </w:t>
      </w:r>
      <w:r>
        <w:t>du C.C.A.S.</w:t>
      </w:r>
    </w:p>
    <w:p w:rsidR="00BB70EE" w:rsidRDefault="00BB70EE" w:rsidP="00650F04">
      <w:pPr>
        <w:ind w:firstLine="567"/>
        <w:jc w:val="both"/>
      </w:pPr>
      <w:r>
        <w:t>En revanche</w:t>
      </w:r>
      <w:r w:rsidR="00D3698B">
        <w:t>,</w:t>
      </w:r>
      <w:r>
        <w:t xml:space="preserve"> l’inflation qui repart à la hausse</w:t>
      </w:r>
      <w:r w:rsidR="0016425A">
        <w:t xml:space="preserve"> est une source d’incertitude</w:t>
      </w:r>
      <w:r>
        <w:t>.</w:t>
      </w:r>
    </w:p>
    <w:p w:rsidR="00BB70EE" w:rsidRDefault="00CE3F70" w:rsidP="00A16AD4">
      <w:pPr>
        <w:ind w:firstLine="567"/>
        <w:jc w:val="both"/>
      </w:pPr>
      <w:r>
        <w:t>Les recettes du C.C.A.S sont majoritairement d</w:t>
      </w:r>
      <w:r w:rsidR="00F5228E">
        <w:t xml:space="preserve">ues à la subvention accordée par la Ville de Sainte-Adresse. La situation financière de cette dernière est satisfaisante. </w:t>
      </w:r>
    </w:p>
    <w:p w:rsidR="00F5228E" w:rsidRDefault="005F2360" w:rsidP="00A16AD4">
      <w:pPr>
        <w:ind w:firstLine="567"/>
        <w:jc w:val="both"/>
      </w:pPr>
      <w:r>
        <w:t>Le résultat de l’exercice de 7.000 € d’excédent est un prévisionnel au 1</w:t>
      </w:r>
      <w:r w:rsidRPr="005F2360">
        <w:rPr>
          <w:vertAlign w:val="superscript"/>
        </w:rPr>
        <w:t>er</w:t>
      </w:r>
      <w:r>
        <w:t xml:space="preserve"> décembre 2021</w:t>
      </w:r>
      <w:r w:rsidR="00F5228E">
        <w:t>.</w:t>
      </w:r>
    </w:p>
    <w:p w:rsidR="005F2360" w:rsidRDefault="005F2360" w:rsidP="00A16AD4">
      <w:pPr>
        <w:ind w:firstLine="567"/>
        <w:jc w:val="both"/>
      </w:pPr>
      <w:r>
        <w:t xml:space="preserve">M. LALLEMAND ajoute que l’excédent aurait pu </w:t>
      </w:r>
      <w:r w:rsidR="00B96336">
        <w:t xml:space="preserve">être de </w:t>
      </w:r>
      <w:r>
        <w:t>2.000 € si le repas des séniors n’avait pas été annulé par les mesures imposées par la présence du COVID étant donné que la dépense estimée était d’environ 5.000 €.</w:t>
      </w:r>
    </w:p>
    <w:p w:rsidR="00F5228E" w:rsidRDefault="00F5228E" w:rsidP="00A16AD4">
      <w:pPr>
        <w:ind w:firstLine="567"/>
        <w:jc w:val="both"/>
      </w:pPr>
      <w:r>
        <w:t>En recette, on prévoit une subvention de la Ville de 50.000 €</w:t>
      </w:r>
      <w:r w:rsidR="00B96336">
        <w:t xml:space="preserve"> et 2</w:t>
      </w:r>
      <w:r w:rsidR="008214C5">
        <w:t>.000 € de recettes complémentaires (dons, quêtes, souscription...)</w:t>
      </w:r>
    </w:p>
    <w:p w:rsidR="00F5228E" w:rsidRDefault="00F5228E" w:rsidP="00A16AD4">
      <w:pPr>
        <w:ind w:firstLine="567"/>
        <w:jc w:val="both"/>
      </w:pPr>
    </w:p>
    <w:p w:rsidR="00F5228E" w:rsidRDefault="008214C5" w:rsidP="00A16AD4">
      <w:pPr>
        <w:ind w:firstLine="567"/>
        <w:jc w:val="both"/>
      </w:pPr>
      <w:r>
        <w:t xml:space="preserve">(Cf. </w:t>
      </w:r>
      <w:r w:rsidR="00DD299C">
        <w:t xml:space="preserve">présentation </w:t>
      </w:r>
      <w:r>
        <w:t>en pièce jointe)</w:t>
      </w:r>
    </w:p>
    <w:p w:rsidR="00F5228E" w:rsidRDefault="00F5228E" w:rsidP="00A16AD4">
      <w:pPr>
        <w:ind w:firstLine="567"/>
        <w:jc w:val="both"/>
      </w:pPr>
    </w:p>
    <w:p w:rsidR="000E3E7D" w:rsidRPr="000D1CF3" w:rsidRDefault="00450A01" w:rsidP="00A16AD4">
      <w:pPr>
        <w:ind w:firstLine="567"/>
        <w:jc w:val="both"/>
        <w:rPr>
          <w:i/>
        </w:rPr>
      </w:pPr>
      <w:r>
        <w:rPr>
          <w:i/>
        </w:rPr>
        <w:t>A l’unanimité, l</w:t>
      </w:r>
      <w:r w:rsidR="006250A7" w:rsidRPr="000D1CF3">
        <w:rPr>
          <w:i/>
        </w:rPr>
        <w:t xml:space="preserve">es membres du conseil d’administration ont pris acte </w:t>
      </w:r>
      <w:r>
        <w:rPr>
          <w:i/>
        </w:rPr>
        <w:t xml:space="preserve">de la tenue </w:t>
      </w:r>
      <w:r w:rsidR="006250A7" w:rsidRPr="000D1CF3">
        <w:rPr>
          <w:i/>
        </w:rPr>
        <w:t xml:space="preserve">du débat d’orientation budgétaire </w:t>
      </w:r>
      <w:r>
        <w:rPr>
          <w:i/>
        </w:rPr>
        <w:t>et de l’existence du rapport sur la base duquel s’est tenu ce débat d’orientation budgétaire</w:t>
      </w:r>
      <w:r w:rsidR="006250A7" w:rsidRPr="000D1CF3">
        <w:rPr>
          <w:i/>
        </w:rPr>
        <w:t>.</w:t>
      </w:r>
    </w:p>
    <w:p w:rsidR="006250A7" w:rsidRDefault="006250A7" w:rsidP="00A16AD4">
      <w:pPr>
        <w:ind w:firstLine="567"/>
        <w:jc w:val="both"/>
      </w:pPr>
    </w:p>
    <w:p w:rsidR="000F2B2C" w:rsidRDefault="00104686" w:rsidP="00A16AD4">
      <w:pPr>
        <w:ind w:firstLine="567"/>
        <w:jc w:val="both"/>
      </w:pPr>
      <w:r>
        <w:t>Madame GAGNEUX demande ce qui a été fait puisque le repas des séniors prévu pour le 11 décembre a été annulé.</w:t>
      </w:r>
    </w:p>
    <w:p w:rsidR="00104686" w:rsidRDefault="00104686" w:rsidP="00A16AD4">
      <w:pPr>
        <w:ind w:firstLine="567"/>
        <w:jc w:val="both"/>
      </w:pPr>
      <w:r>
        <w:t>Monsieur ROLLET et Mme FISCHER répondent que chaque personne inscrite au repas recevra un colis. De plus</w:t>
      </w:r>
      <w:r w:rsidR="00C95ADD">
        <w:t>,</w:t>
      </w:r>
      <w:r>
        <w:t xml:space="preserve"> des colis seront distribués le 16 décembre aux Dionysiens de 95 ans et plus. 80 colis « douceur » ont été commandés au Cocci </w:t>
      </w:r>
      <w:proofErr w:type="spellStart"/>
      <w:r>
        <w:t>Market</w:t>
      </w:r>
      <w:proofErr w:type="spellEnd"/>
      <w:r>
        <w:t xml:space="preserve"> pour les résidents de la RPA.</w:t>
      </w:r>
    </w:p>
    <w:p w:rsidR="00104686" w:rsidRDefault="00104686" w:rsidP="00A16AD4">
      <w:pPr>
        <w:ind w:firstLine="567"/>
        <w:jc w:val="both"/>
      </w:pPr>
      <w:r>
        <w:t>Au vu de l’excédent du C.C.A.S., Madame FISCHER propose que l’on diminue la subvention de la Ville au C.C.A.S.</w:t>
      </w:r>
    </w:p>
    <w:p w:rsidR="00104686" w:rsidRDefault="00104686" w:rsidP="00A16AD4">
      <w:pPr>
        <w:ind w:firstLine="567"/>
        <w:jc w:val="both"/>
      </w:pPr>
      <w:r>
        <w:t>M</w:t>
      </w:r>
      <w:r w:rsidR="0016425A">
        <w:t>onsieur</w:t>
      </w:r>
      <w:r>
        <w:t xml:space="preserve"> LALLEMAND pense que cette solution pourrait suggérer que c’est la Ville qui ne souhaite pas donner d’avantage.</w:t>
      </w:r>
    </w:p>
    <w:p w:rsidR="00104686" w:rsidRDefault="00104686" w:rsidP="00A16AD4">
      <w:pPr>
        <w:ind w:firstLine="567"/>
        <w:jc w:val="both"/>
      </w:pPr>
      <w:r>
        <w:t>Madame DUCREUX répond qu’au vu des chiffres, la baisse peut se justifier.</w:t>
      </w:r>
    </w:p>
    <w:p w:rsidR="0016425A" w:rsidRDefault="0016425A" w:rsidP="00A16AD4">
      <w:pPr>
        <w:ind w:firstLine="567"/>
        <w:jc w:val="both"/>
      </w:pPr>
      <w:r>
        <w:t>Monsieur CARLIEZ se prononce également pour que soit diminuée la « réserve » constituée au fil des ans par les excédents successifs.</w:t>
      </w:r>
    </w:p>
    <w:p w:rsidR="00C95ADD" w:rsidRDefault="00C95ADD" w:rsidP="00A16AD4">
      <w:pPr>
        <w:ind w:firstLine="567"/>
        <w:jc w:val="both"/>
      </w:pPr>
    </w:p>
    <w:p w:rsidR="00124509" w:rsidRDefault="008F5703" w:rsidP="008F5703">
      <w:pPr>
        <w:tabs>
          <w:tab w:val="left" w:pos="0"/>
        </w:tabs>
        <w:suppressAutoHyphens/>
        <w:autoSpaceDN/>
        <w:adjustRightInd/>
        <w:spacing w:before="240" w:after="24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Point sur les aides</w:t>
      </w:r>
    </w:p>
    <w:p w:rsidR="005449C0" w:rsidRDefault="00AA2B44" w:rsidP="00AA2B44">
      <w:pPr>
        <w:tabs>
          <w:tab w:val="left" w:pos="2127"/>
        </w:tabs>
        <w:ind w:right="-142" w:firstLine="567"/>
        <w:jc w:val="both"/>
      </w:pPr>
      <w:r w:rsidRPr="00B57A50">
        <w:rPr>
          <w:u w:val="single"/>
        </w:rPr>
        <w:t>Bons d’achats</w:t>
      </w:r>
      <w:r>
        <w:t> : - en février, 24 bons sur 26 distribués ont été utilisés.</w:t>
      </w:r>
      <w:r w:rsidR="00854AE8">
        <w:t xml:space="preserve"> Soit 820 € dépensés sur 880 € prévus.</w:t>
      </w:r>
    </w:p>
    <w:p w:rsidR="00AA2B44" w:rsidRDefault="00854AE8" w:rsidP="00854AE8">
      <w:pPr>
        <w:tabs>
          <w:tab w:val="left" w:pos="2127"/>
          <w:tab w:val="num" w:pos="3192"/>
        </w:tabs>
        <w:jc w:val="both"/>
      </w:pPr>
      <w:r>
        <w:tab/>
        <w:t>- en juin : 22 bons sur 25 distribués ont été utilisés. Soit 700 € dépensés sur 790 € prévus.</w:t>
      </w:r>
    </w:p>
    <w:p w:rsidR="00854AE8" w:rsidRDefault="00854AE8" w:rsidP="00854AE8">
      <w:pPr>
        <w:tabs>
          <w:tab w:val="left" w:pos="2127"/>
          <w:tab w:val="num" w:pos="3192"/>
        </w:tabs>
        <w:ind w:right="-142"/>
        <w:jc w:val="both"/>
      </w:pPr>
      <w:r>
        <w:tab/>
        <w:t>- en novembre/décembre : 18 bons sur 25 distribués ont été utilisés. Soit 650 e sur 900 € prévus.</w:t>
      </w:r>
    </w:p>
    <w:p w:rsidR="00854AE8" w:rsidRDefault="00854AE8" w:rsidP="00854AE8">
      <w:pPr>
        <w:tabs>
          <w:tab w:val="left" w:pos="2127"/>
          <w:tab w:val="num" w:pos="3192"/>
        </w:tabs>
        <w:ind w:right="-142"/>
        <w:jc w:val="both"/>
      </w:pPr>
      <w:r>
        <w:lastRenderedPageBreak/>
        <w:t>Au total, la dépense des bons d’achats représentent 2.170 € sur les 2.570 € distribués exceptionnellement cette année.</w:t>
      </w:r>
    </w:p>
    <w:p w:rsidR="00C95ADD" w:rsidRDefault="00C95ADD">
      <w:pPr>
        <w:overflowPunct/>
        <w:autoSpaceDE/>
        <w:autoSpaceDN/>
        <w:adjustRightInd/>
        <w:textAlignment w:val="auto"/>
      </w:pPr>
    </w:p>
    <w:p w:rsidR="00B57A50" w:rsidRPr="00B57A50" w:rsidRDefault="00B57A50" w:rsidP="00F7712B">
      <w:pPr>
        <w:ind w:right="-142" w:firstLine="567"/>
        <w:jc w:val="both"/>
      </w:pPr>
      <w:r>
        <w:rPr>
          <w:u w:val="single"/>
        </w:rPr>
        <w:t>Prêts</w:t>
      </w:r>
      <w:r w:rsidRPr="00B57A50">
        <w:t> :</w:t>
      </w:r>
    </w:p>
    <w:p w:rsidR="00B57A50" w:rsidRDefault="00C312FA" w:rsidP="00F7712B">
      <w:pPr>
        <w:ind w:right="-142" w:firstLine="567"/>
        <w:jc w:val="both"/>
        <w:rPr>
          <w:u w:val="single"/>
        </w:rPr>
      </w:pPr>
      <w:r w:rsidRPr="00C312FA">
        <w:drawing>
          <wp:inline distT="0" distB="0" distL="0" distR="0" wp14:anchorId="53C4F6BB" wp14:editId="463A3D40">
            <wp:extent cx="6120765" cy="3636885"/>
            <wp:effectExtent l="0" t="0" r="0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3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A50" w:rsidRDefault="00B57A50" w:rsidP="00F7712B">
      <w:pPr>
        <w:ind w:right="-142" w:firstLine="567"/>
        <w:jc w:val="both"/>
        <w:rPr>
          <w:u w:val="single"/>
        </w:rPr>
      </w:pPr>
    </w:p>
    <w:p w:rsidR="005449C0" w:rsidRDefault="00B57A50" w:rsidP="00F7712B">
      <w:pPr>
        <w:ind w:right="-142" w:firstLine="567"/>
        <w:jc w:val="both"/>
      </w:pPr>
      <w:r w:rsidRPr="00B57A50">
        <w:rPr>
          <w:u w:val="single"/>
        </w:rPr>
        <w:t>Autres dépenses</w:t>
      </w:r>
      <w:r>
        <w:t> :</w:t>
      </w:r>
    </w:p>
    <w:p w:rsidR="004F2175" w:rsidRDefault="004F2175" w:rsidP="00F7712B">
      <w:pPr>
        <w:ind w:right="-142" w:firstLine="567"/>
        <w:jc w:val="both"/>
      </w:pPr>
    </w:p>
    <w:p w:rsidR="004F2175" w:rsidRDefault="004F2175" w:rsidP="00F7712B">
      <w:pPr>
        <w:ind w:right="-142" w:firstLine="567"/>
        <w:jc w:val="both"/>
      </w:pPr>
      <w:r w:rsidRPr="004F2175">
        <w:rPr>
          <w:noProof/>
        </w:rPr>
        <w:drawing>
          <wp:inline distT="0" distB="0" distL="0" distR="0" wp14:anchorId="2C851B57" wp14:editId="09769693">
            <wp:extent cx="6120765" cy="4596871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75" w:rsidRDefault="004F2175" w:rsidP="00F7712B">
      <w:pPr>
        <w:ind w:right="-142" w:firstLine="567"/>
        <w:jc w:val="both"/>
      </w:pPr>
      <w:bookmarkStart w:id="0" w:name="_GoBack"/>
      <w:bookmarkEnd w:id="0"/>
      <w:r w:rsidRPr="004F2175">
        <w:rPr>
          <w:noProof/>
        </w:rPr>
        <w:lastRenderedPageBreak/>
        <w:drawing>
          <wp:inline distT="0" distB="0" distL="0" distR="0" wp14:anchorId="71C6CF85" wp14:editId="731410CF">
            <wp:extent cx="6120765" cy="2479829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47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75" w:rsidRPr="004E4F3B" w:rsidRDefault="004F2175" w:rsidP="00F7712B">
      <w:pPr>
        <w:ind w:right="-142" w:firstLine="567"/>
        <w:jc w:val="both"/>
        <w:rPr>
          <w:sz w:val="20"/>
        </w:rPr>
      </w:pPr>
    </w:p>
    <w:p w:rsidR="004F2175" w:rsidRDefault="004F2175" w:rsidP="004F2175">
      <w:pPr>
        <w:ind w:right="-142" w:firstLine="567"/>
      </w:pPr>
      <w:r w:rsidRPr="004F2175">
        <w:rPr>
          <w:noProof/>
        </w:rPr>
        <w:drawing>
          <wp:inline distT="0" distB="0" distL="0" distR="0" wp14:anchorId="0E3D7518" wp14:editId="66C1CD1E">
            <wp:extent cx="6120765" cy="1769106"/>
            <wp:effectExtent l="0" t="0" r="0" b="317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6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175" w:rsidRPr="004E4F3B" w:rsidRDefault="004F2175" w:rsidP="004F2175">
      <w:pPr>
        <w:ind w:right="-142" w:firstLine="567"/>
        <w:rPr>
          <w:sz w:val="20"/>
        </w:rPr>
      </w:pPr>
    </w:p>
    <w:p w:rsidR="004F2175" w:rsidRDefault="004F2175" w:rsidP="004F2175">
      <w:pPr>
        <w:ind w:right="-142" w:firstLine="567"/>
      </w:pPr>
      <w:r w:rsidRPr="004F2175">
        <w:rPr>
          <w:noProof/>
        </w:rPr>
        <w:drawing>
          <wp:inline distT="0" distB="0" distL="0" distR="0" wp14:anchorId="072D6212" wp14:editId="7317F2C0">
            <wp:extent cx="6120765" cy="1908626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0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D25" w:rsidRPr="004E4F3B" w:rsidRDefault="007B5D25" w:rsidP="00B548AE">
      <w:pPr>
        <w:spacing w:before="120" w:after="120"/>
        <w:ind w:right="-142"/>
        <w:rPr>
          <w:sz w:val="20"/>
        </w:rPr>
      </w:pPr>
    </w:p>
    <w:p w:rsidR="00174E10" w:rsidRDefault="00DF5DFA" w:rsidP="00174E10">
      <w:pPr>
        <w:spacing w:before="120"/>
        <w:ind w:right="-144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Aides mensuelles - Barèmes</w:t>
      </w:r>
    </w:p>
    <w:p w:rsidR="00321AF4" w:rsidRDefault="00DF5DFA" w:rsidP="00DF5DFA">
      <w:pPr>
        <w:spacing w:before="120" w:after="120"/>
        <w:ind w:right="-142"/>
      </w:pPr>
      <w:r>
        <w:t>Monsieur ROLLET souhaiterait augmenter le montant des aides allouées aux personnes seules ainsi que les montants des barèmes. (cf</w:t>
      </w:r>
      <w:r w:rsidR="00A20602">
        <w:t>.</w:t>
      </w:r>
      <w:r>
        <w:t xml:space="preserve"> fiche « aide mensuelle »</w:t>
      </w:r>
      <w:r w:rsidR="00F34541">
        <w:t>)</w:t>
      </w:r>
      <w:r>
        <w:t>.</w:t>
      </w:r>
    </w:p>
    <w:p w:rsidR="0016425A" w:rsidRDefault="0016425A" w:rsidP="0016425A">
      <w:pPr>
        <w:spacing w:before="120" w:after="120"/>
        <w:ind w:right="-142"/>
      </w:pPr>
      <w:r>
        <w:t>Cependant certaines personnes seules, souvent des bénéficiaires qui touchent leur première retraite, ont une pension modeste mais suffisante pour être exclues des aides mensuelles accordées actuellement.</w:t>
      </w:r>
    </w:p>
    <w:p w:rsidR="00DF5DFA" w:rsidRDefault="00DF5DFA" w:rsidP="00DF5DFA">
      <w:pPr>
        <w:spacing w:before="120" w:after="120"/>
        <w:ind w:right="-142"/>
      </w:pPr>
      <w:r>
        <w:t>Cert</w:t>
      </w:r>
      <w:r w:rsidR="00A20602">
        <w:t>aines personnes sont « rattrapées</w:t>
      </w:r>
      <w:r>
        <w:t> » grâce à la délibération N°02-170117 qui permet de continuer d’aider un bénéficiaire seul qui serait exclu pour une augm</w:t>
      </w:r>
      <w:r w:rsidR="00A20602">
        <w:t>entation dans la limite de 43 € (dernière tranche du tableau : de 618 à 834 euros).</w:t>
      </w:r>
    </w:p>
    <w:p w:rsidR="00DF5DFA" w:rsidRDefault="00DF5DFA" w:rsidP="00DF5DFA">
      <w:pPr>
        <w:spacing w:before="120" w:after="120"/>
        <w:ind w:right="-142"/>
      </w:pPr>
      <w:r>
        <w:t>Monsieur LALLEMAND demande quelle augmentation envisag</w:t>
      </w:r>
      <w:r w:rsidR="0016425A">
        <w:t>er</w:t>
      </w:r>
      <w:r>
        <w:t>.</w:t>
      </w:r>
    </w:p>
    <w:p w:rsidR="00DF5DFA" w:rsidRDefault="00DF5DFA" w:rsidP="00DF5DFA">
      <w:pPr>
        <w:spacing w:before="120" w:after="120"/>
        <w:ind w:right="-142"/>
      </w:pPr>
      <w:r>
        <w:t>Monsieur ROLLET propose une augmentation entre 8 et 10 %.</w:t>
      </w:r>
    </w:p>
    <w:p w:rsidR="00DF5DFA" w:rsidRDefault="00DF5DFA" w:rsidP="00DF5DFA">
      <w:pPr>
        <w:spacing w:before="120" w:after="120"/>
        <w:ind w:right="-142"/>
      </w:pPr>
      <w:r>
        <w:t xml:space="preserve">Monsieur CARLIEZ et Madame GAGNEUX </w:t>
      </w:r>
      <w:r w:rsidR="009E46A9">
        <w:t xml:space="preserve">disent que cette augmentation aux seules personnes seules n’est pas équitable. Si l’on modifie le barème des aides mensuelles et si on augmente le </w:t>
      </w:r>
      <w:r w:rsidR="009E46A9">
        <w:lastRenderedPageBreak/>
        <w:t>montant alloué aux personnes seules, il faut également l’appliquer à la catégorie « personne seule avec enfant(s) » et aux couples.</w:t>
      </w:r>
    </w:p>
    <w:p w:rsidR="009E46A9" w:rsidRDefault="009E46A9" w:rsidP="00DF5DFA">
      <w:pPr>
        <w:spacing w:before="120" w:after="120"/>
        <w:ind w:right="-142"/>
      </w:pPr>
      <w:r>
        <w:t>Monsieur ROLLET ajoute que cette augmentation des barèmes et du montant de l’aide mensuelle entrainera la fin de l’augmentation annuelle appliquée à chaque début d’année selon le dernier indice du SMIC de l’année antérieure (délibération N°05-250118).</w:t>
      </w:r>
      <w:r w:rsidR="00A20602">
        <w:t xml:space="preserve"> Le calcul sera arrondi selon la valeur des tickets services disponibles (valeur des tickets donnés : 5, 8 ou 15 euros).</w:t>
      </w:r>
    </w:p>
    <w:p w:rsidR="00A20602" w:rsidRDefault="00A20602" w:rsidP="00DF5DFA">
      <w:pPr>
        <w:spacing w:before="120" w:after="120"/>
        <w:ind w:right="-142"/>
      </w:pPr>
      <w:r>
        <w:t>Les membres du conseil d’administration propose</w:t>
      </w:r>
      <w:r w:rsidR="00C00147">
        <w:t>nt</w:t>
      </w:r>
      <w:r>
        <w:t xml:space="preserve"> une hausse de 10%.</w:t>
      </w:r>
    </w:p>
    <w:p w:rsidR="009E46A9" w:rsidRPr="004E4F3B" w:rsidRDefault="009E46A9" w:rsidP="00DF5DFA">
      <w:pPr>
        <w:spacing w:before="120" w:after="120"/>
        <w:ind w:right="-142"/>
        <w:rPr>
          <w:sz w:val="20"/>
        </w:rPr>
      </w:pPr>
    </w:p>
    <w:p w:rsidR="001C0CC3" w:rsidRDefault="001C0CC3" w:rsidP="001C0CC3">
      <w:pPr>
        <w:spacing w:before="120"/>
        <w:ind w:right="-144"/>
        <w:jc w:val="both"/>
        <w:rPr>
          <w:i/>
        </w:rPr>
      </w:pPr>
      <w:r w:rsidRPr="00DB4165">
        <w:rPr>
          <w:i/>
        </w:rPr>
        <w:t xml:space="preserve">Cette proposition </w:t>
      </w:r>
      <w:r>
        <w:rPr>
          <w:i/>
        </w:rPr>
        <w:t>est</w:t>
      </w:r>
      <w:r w:rsidRPr="00DB4165">
        <w:rPr>
          <w:i/>
        </w:rPr>
        <w:t xml:space="preserve"> adoptée avec </w:t>
      </w:r>
      <w:r w:rsidR="00CA427D">
        <w:rPr>
          <w:i/>
        </w:rPr>
        <w:t>11</w:t>
      </w:r>
      <w:r w:rsidRPr="00DB4165">
        <w:rPr>
          <w:i/>
        </w:rPr>
        <w:t xml:space="preserve"> voix pour, 0 voix contre</w:t>
      </w:r>
    </w:p>
    <w:p w:rsidR="001C0CC3" w:rsidRPr="004E4F3B" w:rsidRDefault="001C0CC3" w:rsidP="00B548AE">
      <w:pPr>
        <w:spacing w:before="120" w:after="120"/>
        <w:ind w:right="-142"/>
        <w:rPr>
          <w:sz w:val="20"/>
        </w:rPr>
      </w:pPr>
    </w:p>
    <w:p w:rsidR="00477062" w:rsidRDefault="00477062" w:rsidP="00477062">
      <w:pPr>
        <w:spacing w:before="120"/>
        <w:ind w:right="-144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</w:t>
      </w:r>
      <w:r w:rsidRPr="00477062">
        <w:rPr>
          <w:rFonts w:ascii="Arial" w:hAnsi="Arial"/>
          <w:b/>
          <w:u w:val="single"/>
        </w:rPr>
        <w:t>élibération 04-2</w:t>
      </w:r>
      <w:r w:rsidR="0016425A">
        <w:rPr>
          <w:rFonts w:ascii="Arial" w:hAnsi="Arial"/>
          <w:b/>
          <w:u w:val="single"/>
        </w:rPr>
        <w:t>60</w:t>
      </w:r>
      <w:r w:rsidRPr="00477062">
        <w:rPr>
          <w:rFonts w:ascii="Arial" w:hAnsi="Arial"/>
          <w:b/>
          <w:u w:val="single"/>
        </w:rPr>
        <w:t xml:space="preserve">917 </w:t>
      </w:r>
      <w:r>
        <w:rPr>
          <w:rFonts w:ascii="Arial" w:hAnsi="Arial"/>
          <w:b/>
          <w:u w:val="single"/>
        </w:rPr>
        <w:t>(</w:t>
      </w:r>
      <w:r w:rsidRPr="00477062">
        <w:rPr>
          <w:rFonts w:ascii="Arial" w:hAnsi="Arial"/>
          <w:b/>
          <w:u w:val="single"/>
        </w:rPr>
        <w:t>les revenus de capitaux mobiliers</w:t>
      </w:r>
      <w:r w:rsidR="00955C0A">
        <w:rPr>
          <w:rFonts w:ascii="Arial" w:hAnsi="Arial"/>
          <w:b/>
          <w:u w:val="single"/>
        </w:rPr>
        <w:t xml:space="preserve"> </w:t>
      </w:r>
      <w:r w:rsidR="00955C0A" w:rsidRPr="00955C0A">
        <w:rPr>
          <w:rFonts w:ascii="Arial" w:hAnsi="Arial"/>
          <w:b/>
          <w:u w:val="single"/>
          <w:vertAlign w:val="superscript"/>
        </w:rPr>
        <w:t>(</w:t>
      </w:r>
      <w:r w:rsidR="00955C0A">
        <w:rPr>
          <w:rFonts w:ascii="Arial" w:hAnsi="Arial"/>
          <w:b/>
          <w:u w:val="single"/>
        </w:rPr>
        <w:t>*</w:t>
      </w:r>
      <w:r w:rsidR="00955C0A" w:rsidRPr="00955C0A">
        <w:rPr>
          <w:rFonts w:ascii="Arial" w:hAnsi="Arial"/>
          <w:b/>
          <w:u w:val="single"/>
          <w:vertAlign w:val="superscript"/>
        </w:rPr>
        <w:t>)</w:t>
      </w:r>
    </w:p>
    <w:p w:rsidR="00477062" w:rsidRDefault="00477062" w:rsidP="00B548AE">
      <w:pPr>
        <w:spacing w:before="120" w:after="120"/>
        <w:ind w:right="-142"/>
      </w:pPr>
      <w:r>
        <w:t>Monsieur ROLLET rappelle qu</w:t>
      </w:r>
      <w:r w:rsidR="004E4F3B">
        <w:t xml:space="preserve">’en </w:t>
      </w:r>
      <w:r w:rsidR="0016425A">
        <w:t>septembre</w:t>
      </w:r>
      <w:r w:rsidR="004E4F3B">
        <w:t xml:space="preserve"> 2017, </w:t>
      </w:r>
      <w:r>
        <w:t>les membres du conseil d’administration ont voté une délibération</w:t>
      </w:r>
      <w:r w:rsidR="00955C0A">
        <w:t xml:space="preserve"> qui interdisait toute aide dès l’instant que figurait au moins 1 euro de revenus de capitaux mobiliers sur la feuille d’imposition d’un demandeur.</w:t>
      </w:r>
    </w:p>
    <w:p w:rsidR="00955C0A" w:rsidRDefault="00955C0A" w:rsidP="00B548AE">
      <w:pPr>
        <w:spacing w:before="120" w:after="120"/>
        <w:ind w:right="-142"/>
      </w:pPr>
      <w:r>
        <w:t>Monsieur BALY explique que les intérêts d’un Livret A sont invisibles si le bénéficiaire ne l’utilise pas.</w:t>
      </w:r>
    </w:p>
    <w:p w:rsidR="00955C0A" w:rsidRDefault="00955C0A" w:rsidP="00B548AE">
      <w:pPr>
        <w:spacing w:before="120" w:after="120"/>
        <w:ind w:right="-142"/>
      </w:pPr>
      <w:r>
        <w:t xml:space="preserve">Monsieur LALLEMAND explique que certaines banques font de leurs clients des sociétaires et donc ils </w:t>
      </w:r>
      <w:r w:rsidR="004E4F3B">
        <w:t>figurent</w:t>
      </w:r>
      <w:r>
        <w:t xml:space="preserve"> dans la catégorie des personnes déclarant des revenus de capitaux mobiliers.</w:t>
      </w:r>
    </w:p>
    <w:p w:rsidR="008D1D1A" w:rsidRDefault="008D1D1A" w:rsidP="00B548AE">
      <w:pPr>
        <w:spacing w:before="120" w:after="120"/>
        <w:ind w:right="-142"/>
      </w:pPr>
      <w:r>
        <w:t>Monsieur ROLLET</w:t>
      </w:r>
      <w:r w:rsidR="007809FA">
        <w:t xml:space="preserve"> propose de refuser une aide mensuelle ou exceptionnelle seulement si le demandeur à un revenu de capitaux mobiliers indiqué sur sa feuille d’imposition supérieur à 10 €.</w:t>
      </w:r>
    </w:p>
    <w:p w:rsidR="007809FA" w:rsidRDefault="007809FA" w:rsidP="00B548AE">
      <w:pPr>
        <w:spacing w:before="120" w:after="120"/>
        <w:ind w:right="-142"/>
      </w:pPr>
      <w:r>
        <w:t>Cette mesure s’appliquera également aux demandeurs pour une aide à la cantine.</w:t>
      </w:r>
    </w:p>
    <w:p w:rsidR="00477062" w:rsidRPr="00955C0A" w:rsidRDefault="00955C0A" w:rsidP="00B548AE">
      <w:pPr>
        <w:spacing w:before="120" w:after="120"/>
        <w:ind w:right="-142"/>
        <w:rPr>
          <w:i/>
          <w:sz w:val="20"/>
        </w:rPr>
      </w:pPr>
      <w:r>
        <w:t xml:space="preserve">(*) </w:t>
      </w:r>
      <w:r w:rsidRPr="00955C0A">
        <w:rPr>
          <w:i/>
          <w:sz w:val="20"/>
        </w:rPr>
        <w:t>Les revenus tirés des placements financiers sont en principe imposables dans la catégorie des revenus des valeurs et capitaux mobiliers. Chaque type de placement a des règles spécifiques d’imposition. Certains sont exonérés d’impôt sur le revenu ou soumis au prélèvement libératoire, d’autres sont pris en compte dans votre revenu imposable</w:t>
      </w:r>
      <w:r>
        <w:rPr>
          <w:i/>
        </w:rPr>
        <w:t xml:space="preserve"> (</w:t>
      </w:r>
      <w:r w:rsidRPr="00955C0A">
        <w:rPr>
          <w:i/>
          <w:sz w:val="20"/>
        </w:rPr>
        <w:t xml:space="preserve">source : </w:t>
      </w:r>
      <w:hyperlink r:id="rId14" w:history="1">
        <w:r w:rsidRPr="00955C0A">
          <w:rPr>
            <w:i/>
            <w:sz w:val="20"/>
          </w:rPr>
          <w:t>Revenus de capitaux mobiliers et plus-values mobilières | impots.gouv.fr</w:t>
        </w:r>
      </w:hyperlink>
      <w:r w:rsidRPr="00955C0A">
        <w:rPr>
          <w:i/>
          <w:sz w:val="20"/>
        </w:rPr>
        <w:t>)</w:t>
      </w:r>
      <w:r>
        <w:rPr>
          <w:i/>
          <w:sz w:val="20"/>
        </w:rPr>
        <w:t>.</w:t>
      </w:r>
    </w:p>
    <w:p w:rsidR="00955C0A" w:rsidRPr="00F16EF8" w:rsidRDefault="00955C0A" w:rsidP="00B548AE">
      <w:pPr>
        <w:spacing w:before="120" w:after="120"/>
        <w:ind w:right="-142"/>
        <w:rPr>
          <w:sz w:val="16"/>
          <w:szCs w:val="16"/>
        </w:rPr>
      </w:pPr>
    </w:p>
    <w:p w:rsidR="007809FA" w:rsidRPr="004E4F3B" w:rsidRDefault="007809FA" w:rsidP="00B548AE">
      <w:pPr>
        <w:spacing w:before="120" w:after="120"/>
        <w:ind w:right="-142"/>
        <w:rPr>
          <w:i/>
        </w:rPr>
      </w:pPr>
      <w:r w:rsidRPr="004E4F3B">
        <w:rPr>
          <w:i/>
        </w:rPr>
        <w:t xml:space="preserve">Cette proposition est adoptée avec </w:t>
      </w:r>
      <w:r w:rsidR="00CA427D" w:rsidRPr="004E4F3B">
        <w:rPr>
          <w:i/>
        </w:rPr>
        <w:t>11</w:t>
      </w:r>
      <w:r w:rsidRPr="004E4F3B">
        <w:rPr>
          <w:i/>
        </w:rPr>
        <w:t xml:space="preserve"> voix pour, 0 voix contre</w:t>
      </w:r>
    </w:p>
    <w:p w:rsidR="00136483" w:rsidRPr="004E4F3B" w:rsidRDefault="00136483" w:rsidP="00BA1EE5">
      <w:pPr>
        <w:spacing w:before="120"/>
        <w:ind w:right="-144"/>
        <w:jc w:val="both"/>
        <w:rPr>
          <w:i/>
          <w:sz w:val="20"/>
        </w:rPr>
      </w:pPr>
    </w:p>
    <w:p w:rsidR="009D35CF" w:rsidRDefault="009D35CF" w:rsidP="00BA1EE5">
      <w:pPr>
        <w:spacing w:before="120"/>
        <w:ind w:right="-144"/>
        <w:jc w:val="both"/>
      </w:pPr>
      <w:r w:rsidRPr="009D35CF">
        <w:t>Monsieur CARLIEZ demande s’il y a toujours une assistante sociale sur Sainte-Adresse.</w:t>
      </w:r>
    </w:p>
    <w:p w:rsidR="009D35CF" w:rsidRDefault="009D35CF" w:rsidP="00BA1EE5">
      <w:pPr>
        <w:spacing w:before="120"/>
        <w:ind w:right="-144"/>
        <w:jc w:val="both"/>
      </w:pPr>
      <w:r>
        <w:t>Monsieur ROLLET répond que des assistantes sociales « volantes »du C.M.S. de Sanvic ont été d</w:t>
      </w:r>
      <w:r w:rsidR="00012C03">
        <w:t xml:space="preserve">étachées par le Département </w:t>
      </w:r>
      <w:r w:rsidR="00ED04AA">
        <w:t>grâce à l’intervention</w:t>
      </w:r>
      <w:r>
        <w:t xml:space="preserve"> de Mme Christelle MSICA-GUEROUT, adjointe au maire et conseillère départementale.</w:t>
      </w:r>
    </w:p>
    <w:p w:rsidR="009D35CF" w:rsidRPr="004E4F3B" w:rsidRDefault="009D35CF" w:rsidP="00BA1EE5">
      <w:pPr>
        <w:spacing w:before="120"/>
        <w:ind w:right="-144"/>
        <w:jc w:val="both"/>
        <w:rPr>
          <w:sz w:val="20"/>
        </w:rPr>
      </w:pPr>
    </w:p>
    <w:p w:rsidR="00136483" w:rsidRDefault="00136483" w:rsidP="00BA1EE5">
      <w:pPr>
        <w:spacing w:before="120"/>
        <w:ind w:right="-144"/>
        <w:jc w:val="both"/>
        <w:rPr>
          <w:i/>
        </w:rPr>
      </w:pPr>
      <w:r>
        <w:rPr>
          <w:rFonts w:ascii="Arial" w:hAnsi="Arial"/>
          <w:b/>
          <w:u w:val="single"/>
        </w:rPr>
        <w:t>Information</w:t>
      </w:r>
    </w:p>
    <w:p w:rsidR="007809FA" w:rsidRDefault="007809FA" w:rsidP="004D1507">
      <w:pPr>
        <w:spacing w:before="120"/>
        <w:ind w:left="720" w:right="-144"/>
        <w:jc w:val="both"/>
      </w:pPr>
      <w:r>
        <w:t xml:space="preserve">Madame DUCREUX indique qu’une consultation à l’hôpital Jacques MONOD est en place pour les femmes en difficulté. </w:t>
      </w:r>
    </w:p>
    <w:p w:rsidR="00136483" w:rsidRPr="00522F47" w:rsidRDefault="00522F47" w:rsidP="004E4F3B">
      <w:pPr>
        <w:spacing w:before="120"/>
        <w:ind w:left="720" w:right="-142"/>
        <w:jc w:val="both"/>
      </w:pPr>
      <w:r w:rsidRPr="00522F47">
        <w:t>Monsieur ROLLET informe les membres du conseil d’administration</w:t>
      </w:r>
      <w:r w:rsidR="004D1507">
        <w:t xml:space="preserve"> que les bénéficiaires du C.C.A.S. </w:t>
      </w:r>
      <w:r w:rsidR="007809FA">
        <w:t>recevront</w:t>
      </w:r>
      <w:r w:rsidR="004D1507">
        <w:t xml:space="preserve"> un colis de noël</w:t>
      </w:r>
      <w:r w:rsidR="007809FA">
        <w:t xml:space="preserve"> le mercredi 15 décembre de 08h00 à 13h00</w:t>
      </w:r>
      <w:r w:rsidR="004D1507">
        <w:t xml:space="preserve">. </w:t>
      </w:r>
      <w:r w:rsidR="009D35CF">
        <w:t>Le colis pour les D</w:t>
      </w:r>
      <w:r w:rsidR="007809FA">
        <w:t xml:space="preserve">ionysiens de 95 ans et plus </w:t>
      </w:r>
      <w:r w:rsidR="009D35CF">
        <w:t xml:space="preserve">sera offert pendant la journée du </w:t>
      </w:r>
      <w:r w:rsidR="007809FA">
        <w:t>jeudi 16 décembre</w:t>
      </w:r>
      <w:r w:rsidR="009D35CF">
        <w:t>. La distribution des colis pour les personnes inscrites initialement au repas aura lieu le 2</w:t>
      </w:r>
      <w:r w:rsidR="00291509">
        <w:t>5</w:t>
      </w:r>
      <w:r w:rsidR="009D35CF">
        <w:t xml:space="preserve"> janvier 2022.</w:t>
      </w:r>
    </w:p>
    <w:p w:rsidR="00B9156A" w:rsidRDefault="00B9156A" w:rsidP="004E4F3B">
      <w:pPr>
        <w:spacing w:before="240" w:after="240"/>
        <w:jc w:val="center"/>
      </w:pPr>
      <w:r>
        <w:t>***********************</w:t>
      </w:r>
    </w:p>
    <w:p w:rsidR="00F16EF8" w:rsidRDefault="00501758" w:rsidP="00136521">
      <w:pPr>
        <w:spacing w:after="240"/>
        <w:ind w:firstLine="992"/>
        <w:jc w:val="both"/>
      </w:pPr>
      <w:r>
        <w:t xml:space="preserve">Le prochain conseil se réunira le </w:t>
      </w:r>
      <w:r w:rsidR="00C56B23">
        <w:t xml:space="preserve">mardi </w:t>
      </w:r>
      <w:r w:rsidR="009D35CF">
        <w:t>1er</w:t>
      </w:r>
      <w:r w:rsidR="00B36730">
        <w:t xml:space="preserve"> </w:t>
      </w:r>
      <w:r w:rsidR="004764E9">
        <w:t>février</w:t>
      </w:r>
      <w:r w:rsidR="00C56B23">
        <w:t xml:space="preserve"> </w:t>
      </w:r>
      <w:r w:rsidR="008C297D">
        <w:t>202</w:t>
      </w:r>
      <w:r w:rsidR="009D35CF">
        <w:t>2</w:t>
      </w:r>
      <w:r>
        <w:t xml:space="preserve"> à </w:t>
      </w:r>
      <w:r w:rsidR="004764E9">
        <w:t>10h00</w:t>
      </w:r>
      <w:r>
        <w:t>.</w:t>
      </w:r>
    </w:p>
    <w:p w:rsidR="00E81E59" w:rsidRDefault="00B84A9C" w:rsidP="00136521">
      <w:pPr>
        <w:spacing w:after="240"/>
        <w:ind w:firstLine="992"/>
        <w:jc w:val="both"/>
      </w:pPr>
      <w:r>
        <w:t>L’ordre du jour étant épuisé, la séance est levée</w:t>
      </w:r>
      <w:r w:rsidR="00B472F7">
        <w:t>.</w:t>
      </w:r>
    </w:p>
    <w:p w:rsidR="0035355A" w:rsidRDefault="0035355A" w:rsidP="0035355A">
      <w:pPr>
        <w:spacing w:after="1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</w:t>
      </w:r>
      <w:r w:rsidRPr="00010C93">
        <w:rPr>
          <w:b/>
          <w:sz w:val="36"/>
          <w:szCs w:val="36"/>
        </w:rPr>
        <w:t>CAS</w:t>
      </w:r>
      <w:r>
        <w:rPr>
          <w:b/>
          <w:sz w:val="36"/>
          <w:szCs w:val="36"/>
        </w:rPr>
        <w:t xml:space="preserve"> de la ville de Sainte-Adresse</w:t>
      </w:r>
    </w:p>
    <w:p w:rsidR="0035355A" w:rsidRDefault="0035355A" w:rsidP="0035355A">
      <w:pPr>
        <w:spacing w:after="1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Séance du Conseil d’Administration du 14 décembre 2021</w:t>
      </w:r>
    </w:p>
    <w:p w:rsidR="0035355A" w:rsidRDefault="0035355A" w:rsidP="0035355A">
      <w:pPr>
        <w:spacing w:after="1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Rapport d’orientation budgétaire 2022</w:t>
      </w:r>
    </w:p>
    <w:p w:rsidR="0035355A" w:rsidRPr="005F4CA3" w:rsidRDefault="0035355A" w:rsidP="0035355A">
      <w:pPr>
        <w:spacing w:after="180"/>
        <w:jc w:val="center"/>
        <w:rPr>
          <w:b/>
          <w:sz w:val="18"/>
          <w:szCs w:val="18"/>
        </w:rPr>
      </w:pP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Le compte administratif 2021 et le budget de l’exercice 2022 devraient vous être présentés dans le courant du mois de février prochain.</w:t>
      </w:r>
    </w:p>
    <w:p w:rsidR="0035355A" w:rsidRDefault="0035355A" w:rsidP="0035355A">
      <w:pPr>
        <w:spacing w:after="360"/>
        <w:jc w:val="both"/>
        <w:rPr>
          <w:szCs w:val="24"/>
        </w:rPr>
      </w:pPr>
      <w:r>
        <w:rPr>
          <w:szCs w:val="24"/>
        </w:rPr>
        <w:t>Préalablement à cet examen et conformément aux dispositions de l’article L2312-1 du Code Général des Collectivités Territoriales, il convient de procéder à un débat d’orientation budgétaire dont les principales données vous sont présentées dans le présent rapport.</w:t>
      </w:r>
    </w:p>
    <w:p w:rsidR="0035355A" w:rsidRPr="00A81514" w:rsidRDefault="0035355A" w:rsidP="0035355A">
      <w:pPr>
        <w:pStyle w:val="Paragraphedeliste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b/>
          <w:szCs w:val="24"/>
          <w:u w:val="single"/>
        </w:rPr>
      </w:pPr>
      <w:r>
        <w:rPr>
          <w:b/>
          <w:szCs w:val="24"/>
          <w:u w:val="single"/>
        </w:rPr>
        <w:t>Contexte général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Les 2 dernières années auront bien entendu été marquées par la crise sanitaire. Même si celle-ci semble avoir eu finalement peu d’impact sur la situation économique des personnes bénéficiant du soutien du C.C.A.S., il conviendra de rester vigilant à ce sujet.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 xml:space="preserve">De même nous devons rester attentifs dans les mois qui viennent aux répercussions que pourrait provoquer la hausse de l’inflation, singulièrement en ce qui concerne le prix de l’énergie. 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Pour rappel :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Le cout des tarifs réglementés de l’électricité qui évolue habituellement 2 fois par an, en février et en août, a augmenté en moyenne de 2,41 % en 2021 (1,93 % en février et 0.48 % en août). Une nouvelle hausse d’environ 12 % est prévue pour le début de l’année 2022.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En ce qui concerne le tarif réglementé du gaz, qui évolue tous les mois, l’augmentation constatée de janvier à octobre 2021 s’est chiffrée à 54 % et cette tendance devrait se poursuivre dans les prochains mois.</w:t>
      </w:r>
    </w:p>
    <w:p w:rsidR="0035355A" w:rsidRDefault="0035355A" w:rsidP="0035355A">
      <w:pPr>
        <w:spacing w:after="360"/>
        <w:ind w:right="-284"/>
        <w:jc w:val="both"/>
        <w:rPr>
          <w:szCs w:val="24"/>
        </w:rPr>
      </w:pPr>
      <w:r>
        <w:rPr>
          <w:szCs w:val="24"/>
        </w:rPr>
        <w:t>Quant au cours du fuel, extrêmement volatil</w:t>
      </w:r>
      <w:r w:rsidR="000547E7">
        <w:rPr>
          <w:szCs w:val="24"/>
        </w:rPr>
        <w:t>e</w:t>
      </w:r>
      <w:r>
        <w:rPr>
          <w:szCs w:val="24"/>
        </w:rPr>
        <w:t>, le prix du litre a augmenté en moyenne d’environ 40 % depuis janvier 2021.</w:t>
      </w:r>
    </w:p>
    <w:p w:rsidR="0035355A" w:rsidRPr="002E2D69" w:rsidRDefault="0035355A" w:rsidP="0035355A">
      <w:pPr>
        <w:pStyle w:val="Paragraphedeliste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b/>
          <w:szCs w:val="24"/>
          <w:u w:val="single"/>
        </w:rPr>
      </w:pPr>
      <w:r>
        <w:rPr>
          <w:b/>
          <w:szCs w:val="24"/>
          <w:u w:val="single"/>
        </w:rPr>
        <w:t>Les hypothèses retenues pour construire le projet de budget 2022</w:t>
      </w:r>
      <w:r w:rsidRPr="00A81514">
        <w:rPr>
          <w:b/>
          <w:szCs w:val="24"/>
          <w:u w:val="single"/>
        </w:rPr>
        <w:t>.</w:t>
      </w:r>
    </w:p>
    <w:p w:rsidR="0035355A" w:rsidRPr="00F10EE0" w:rsidRDefault="0035355A" w:rsidP="0035355A">
      <w:pPr>
        <w:pStyle w:val="Paragraphedeliste"/>
        <w:numPr>
          <w:ilvl w:val="0"/>
          <w:numId w:val="35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b/>
          <w:szCs w:val="24"/>
          <w:u w:val="single"/>
        </w:rPr>
      </w:pPr>
      <w:r>
        <w:rPr>
          <w:b/>
          <w:szCs w:val="24"/>
          <w:u w:val="single"/>
        </w:rPr>
        <w:t>Les concours financiers</w:t>
      </w:r>
    </w:p>
    <w:p w:rsidR="0035355A" w:rsidRPr="00F10EE0" w:rsidRDefault="0035355A" w:rsidP="0035355A">
      <w:pPr>
        <w:pStyle w:val="Paragraphedeliste"/>
        <w:numPr>
          <w:ilvl w:val="0"/>
          <w:numId w:val="34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Cs w:val="24"/>
          <w:u w:val="single"/>
        </w:rPr>
      </w:pPr>
      <w:r>
        <w:rPr>
          <w:szCs w:val="24"/>
          <w:u w:val="single"/>
        </w:rPr>
        <w:t>En</w:t>
      </w:r>
      <w:r w:rsidRPr="00F10EE0">
        <w:rPr>
          <w:szCs w:val="24"/>
          <w:u w:val="single"/>
        </w:rPr>
        <w:t xml:space="preserve"> </w:t>
      </w:r>
      <w:proofErr w:type="gramStart"/>
      <w:r w:rsidRPr="00F10EE0">
        <w:rPr>
          <w:szCs w:val="24"/>
          <w:u w:val="single"/>
        </w:rPr>
        <w:t>dépenses</w:t>
      </w:r>
      <w:proofErr w:type="gramEnd"/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 xml:space="preserve">Globalement, les montants des crédits inscrits en 2021 pour financer les aides à apporter à nos concitoyens (restauration scolaire, secours exceptionnels, secours mensuels et Ticket Service) se sont révélés largement suffisants. (75.000 € </w:t>
      </w:r>
      <w:proofErr w:type="gramStart"/>
      <w:r>
        <w:rPr>
          <w:szCs w:val="24"/>
        </w:rPr>
        <w:t>inscrits</w:t>
      </w:r>
      <w:proofErr w:type="gramEnd"/>
      <w:r>
        <w:rPr>
          <w:szCs w:val="24"/>
        </w:rPr>
        <w:t>, 27.000 € mandatés au jour de la rédaction de cette note).En y ajoutant les dépenses des autres chapitres, charges à caractère général et charges exceptionnelles, le total des dépenses de fonctionnement devrait se chiffrer à 45.000 € en 2021.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Par prudence et afin d’anticiper</w:t>
      </w:r>
      <w:r w:rsidRPr="00554A84">
        <w:rPr>
          <w:szCs w:val="24"/>
        </w:rPr>
        <w:t xml:space="preserve"> </w:t>
      </w:r>
      <w:r>
        <w:rPr>
          <w:szCs w:val="24"/>
        </w:rPr>
        <w:t>les éventuelles difficultés que pourraient rencontrer nos concitoyens face à la reprise de l’inflation évoquée plus haut, il vous sera proposé de maintenir les sommes inscrites en 2021, une fois repris l’excédent de fonctionnement de 2021 constaté au compte administratif.</w:t>
      </w:r>
    </w:p>
    <w:p w:rsidR="0035355A" w:rsidRPr="00F10EE0" w:rsidRDefault="0035355A" w:rsidP="0035355A">
      <w:pPr>
        <w:pStyle w:val="Paragraphedeliste"/>
        <w:numPr>
          <w:ilvl w:val="0"/>
          <w:numId w:val="34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Cs w:val="24"/>
          <w:u w:val="single"/>
        </w:rPr>
      </w:pPr>
      <w:r>
        <w:rPr>
          <w:szCs w:val="24"/>
          <w:u w:val="single"/>
        </w:rPr>
        <w:t>En</w:t>
      </w:r>
      <w:r w:rsidRPr="00F10EE0">
        <w:rPr>
          <w:szCs w:val="24"/>
          <w:u w:val="single"/>
        </w:rPr>
        <w:t xml:space="preserve"> recettes</w:t>
      </w:r>
    </w:p>
    <w:p w:rsidR="0035355A" w:rsidRDefault="0035355A" w:rsidP="0035355A">
      <w:pPr>
        <w:ind w:right="-286"/>
        <w:jc w:val="both"/>
        <w:rPr>
          <w:szCs w:val="24"/>
        </w:rPr>
      </w:pPr>
      <w:r>
        <w:rPr>
          <w:szCs w:val="24"/>
        </w:rPr>
        <w:t xml:space="preserve">Les recettes de fonctionnement se sont avérées conformes aux prévisions : environ 52.000 €. </w:t>
      </w:r>
    </w:p>
    <w:p w:rsidR="0035355A" w:rsidRDefault="0035355A" w:rsidP="0035355A">
      <w:pPr>
        <w:ind w:right="-286"/>
        <w:jc w:val="both"/>
        <w:rPr>
          <w:szCs w:val="24"/>
        </w:rPr>
      </w:pPr>
      <w:r>
        <w:rPr>
          <w:szCs w:val="24"/>
        </w:rPr>
        <w:t>La subvention que verse la Ville au C.C.A.S. (50.000 € depuis 2018) représente l’essentiel de nos recettes.</w:t>
      </w:r>
      <w:r w:rsidRPr="001E0589">
        <w:rPr>
          <w:szCs w:val="24"/>
        </w:rPr>
        <w:t xml:space="preserve"> </w:t>
      </w:r>
    </w:p>
    <w:p w:rsidR="0035355A" w:rsidRDefault="0035355A" w:rsidP="0035355A">
      <w:pPr>
        <w:ind w:right="-286"/>
        <w:jc w:val="both"/>
        <w:rPr>
          <w:szCs w:val="24"/>
        </w:rPr>
      </w:pPr>
      <w:r>
        <w:rPr>
          <w:szCs w:val="24"/>
        </w:rPr>
        <w:t>Le résultat de l’exercice 2021 devrait ainsi s’avérer excédentaire d’environ 7.000 €.</w:t>
      </w:r>
    </w:p>
    <w:p w:rsidR="00F34541" w:rsidRDefault="00F34541" w:rsidP="0035355A">
      <w:pPr>
        <w:ind w:right="-286"/>
        <w:jc w:val="both"/>
        <w:rPr>
          <w:szCs w:val="24"/>
        </w:rPr>
      </w:pPr>
    </w:p>
    <w:p w:rsidR="00F34541" w:rsidRDefault="00F34541" w:rsidP="0035355A">
      <w:pPr>
        <w:ind w:right="-286"/>
        <w:jc w:val="both"/>
        <w:rPr>
          <w:szCs w:val="24"/>
        </w:rPr>
      </w:pPr>
    </w:p>
    <w:p w:rsidR="00F34541" w:rsidRPr="00C634E3" w:rsidRDefault="00F34541" w:rsidP="0035355A">
      <w:pPr>
        <w:ind w:right="-286"/>
        <w:jc w:val="both"/>
        <w:rPr>
          <w:szCs w:val="24"/>
        </w:rPr>
      </w:pPr>
    </w:p>
    <w:p w:rsidR="0035355A" w:rsidRDefault="0035355A" w:rsidP="0035355A">
      <w:pPr>
        <w:pStyle w:val="Paragraphedeliste"/>
        <w:numPr>
          <w:ilvl w:val="0"/>
          <w:numId w:val="35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b/>
          <w:szCs w:val="24"/>
          <w:u w:val="single"/>
        </w:rPr>
      </w:pPr>
      <w:r>
        <w:rPr>
          <w:b/>
          <w:szCs w:val="24"/>
          <w:u w:val="single"/>
        </w:rPr>
        <w:t>Les relations entre la commune et le C.C.A.S.</w:t>
      </w:r>
    </w:p>
    <w:p w:rsidR="0035355A" w:rsidRDefault="0035355A" w:rsidP="0035355A">
      <w:pPr>
        <w:spacing w:after="360"/>
        <w:jc w:val="both"/>
        <w:rPr>
          <w:szCs w:val="24"/>
        </w:rPr>
      </w:pPr>
      <w:r>
        <w:rPr>
          <w:szCs w:val="24"/>
        </w:rPr>
        <w:lastRenderedPageBreak/>
        <w:t>Outre cette question du montant de la subvention attribuée par la Ville, il sera nécessaire de prévoir l’actualisation du remboursement à la Ville des charges liées à la mise à disposition de 2 agents qui représente l’équivalent d’environ un demi Equivalent Temps Plein (soit 17 heures réparties entre 2 agents : 5 et 12 h par semaine).</w:t>
      </w:r>
    </w:p>
    <w:p w:rsidR="0035355A" w:rsidRPr="008E2385" w:rsidRDefault="0035355A" w:rsidP="0035355A">
      <w:pPr>
        <w:pStyle w:val="Paragraphedeliste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b/>
          <w:szCs w:val="24"/>
          <w:u w:val="single"/>
        </w:rPr>
      </w:pPr>
      <w:r w:rsidRPr="008E2385">
        <w:rPr>
          <w:b/>
          <w:szCs w:val="24"/>
          <w:u w:val="single"/>
        </w:rPr>
        <w:t>Evolution prévisionnelle des dépenses et des recettes pour l’exercice 20</w:t>
      </w:r>
      <w:r>
        <w:rPr>
          <w:b/>
          <w:szCs w:val="24"/>
          <w:u w:val="single"/>
        </w:rPr>
        <w:t>22</w:t>
      </w:r>
      <w:r w:rsidRPr="008E2385">
        <w:rPr>
          <w:b/>
          <w:szCs w:val="24"/>
          <w:u w:val="single"/>
        </w:rPr>
        <w:t>.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En préambule, il sera rappelé qu’il ne s’agit à ce stade que de prévisions qui devront être confirmées lors de la présentation du compte administratif et du budget principal.</w:t>
      </w:r>
    </w:p>
    <w:p w:rsidR="00F34541" w:rsidRDefault="00F34541" w:rsidP="0035355A">
      <w:pPr>
        <w:jc w:val="both"/>
        <w:rPr>
          <w:szCs w:val="24"/>
        </w:rPr>
      </w:pPr>
    </w:p>
    <w:p w:rsidR="0035355A" w:rsidRDefault="0035355A" w:rsidP="0035355A">
      <w:pPr>
        <w:pStyle w:val="Paragraphedeliste"/>
        <w:numPr>
          <w:ilvl w:val="0"/>
          <w:numId w:val="36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b/>
          <w:szCs w:val="24"/>
          <w:u w:val="single"/>
        </w:rPr>
      </w:pPr>
      <w:r w:rsidRPr="002E2D69">
        <w:rPr>
          <w:b/>
          <w:szCs w:val="24"/>
          <w:u w:val="single"/>
        </w:rPr>
        <w:t>En fonctionnement</w:t>
      </w:r>
    </w:p>
    <w:p w:rsidR="0035355A" w:rsidRDefault="0035355A" w:rsidP="0035355A">
      <w:pPr>
        <w:pStyle w:val="Paragraphedeliste"/>
        <w:numPr>
          <w:ilvl w:val="0"/>
          <w:numId w:val="37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Cs w:val="24"/>
          <w:u w:val="single"/>
        </w:rPr>
      </w:pPr>
      <w:r w:rsidRPr="009241FA">
        <w:rPr>
          <w:szCs w:val="24"/>
          <w:u w:val="single"/>
        </w:rPr>
        <w:t xml:space="preserve"> Dépenses 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Pour 2022, le montant des dépenses réelles à inscrire au budget pourrait se chiffrer à 50.200 €, porté à 52.000 € avec les dépenses d’ordre.</w:t>
      </w:r>
    </w:p>
    <w:p w:rsidR="0035355A" w:rsidRDefault="0035355A" w:rsidP="0035355A">
      <w:pPr>
        <w:pStyle w:val="Paragraphedeliste"/>
        <w:numPr>
          <w:ilvl w:val="0"/>
          <w:numId w:val="37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szCs w:val="24"/>
          <w:u w:val="single"/>
        </w:rPr>
      </w:pPr>
      <w:r>
        <w:rPr>
          <w:szCs w:val="24"/>
          <w:u w:val="single"/>
        </w:rPr>
        <w:t>Recettes</w:t>
      </w:r>
      <w:r w:rsidRPr="009241FA">
        <w:rPr>
          <w:szCs w:val="24"/>
          <w:u w:val="single"/>
        </w:rPr>
        <w:t xml:space="preserve"> 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Les recettes de l’exercice 2022 devraient être de l’ordre de 52.000 € auxquelles devra être ajouté l’excédent de fonctionnement reporté (pour rappel 48.171,96 € inscrits au BP 2021).</w:t>
      </w:r>
    </w:p>
    <w:p w:rsidR="00F34541" w:rsidRDefault="00F34541" w:rsidP="0035355A">
      <w:pPr>
        <w:jc w:val="both"/>
        <w:rPr>
          <w:szCs w:val="24"/>
        </w:rPr>
      </w:pPr>
    </w:p>
    <w:p w:rsidR="0035355A" w:rsidRPr="0058313B" w:rsidRDefault="0035355A" w:rsidP="0035355A">
      <w:pPr>
        <w:pStyle w:val="Paragraphedeliste"/>
        <w:numPr>
          <w:ilvl w:val="0"/>
          <w:numId w:val="36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b/>
          <w:szCs w:val="24"/>
          <w:u w:val="single"/>
        </w:rPr>
      </w:pPr>
      <w:r w:rsidRPr="0058313B">
        <w:rPr>
          <w:b/>
          <w:szCs w:val="24"/>
          <w:u w:val="single"/>
        </w:rPr>
        <w:t>En investissement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Les dépenses et les recettes d’investissement sont essentiellement constituées des prêts (attribués et remboursés) auxquelles il convient d’ajouter une recette d’ordre relative aux amortissements.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Cette section d’investissement devrait trouver son équilibre avec l’inscription d’une somme de 16.000 €.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A cette somme, il conviendra d’ajouter le montant de l’excédent d’investissement reporté des exercices précédents qui se chiffre à un peu moins de 3.000 € (2.957 €).</w:t>
      </w:r>
    </w:p>
    <w:p w:rsidR="0035355A" w:rsidRDefault="0035355A" w:rsidP="0035355A">
      <w:pPr>
        <w:jc w:val="both"/>
        <w:rPr>
          <w:szCs w:val="24"/>
        </w:rPr>
      </w:pPr>
      <w:r>
        <w:rPr>
          <w:szCs w:val="24"/>
        </w:rPr>
        <w:t>Toutes ces données sont synthétisées sous forme de tableau que vous trouverez joint à cette note.</w:t>
      </w:r>
    </w:p>
    <w:p w:rsidR="00B9156A" w:rsidRDefault="00B9156A" w:rsidP="0035355A">
      <w:pPr>
        <w:overflowPunct/>
        <w:autoSpaceDE/>
        <w:autoSpaceDN/>
        <w:adjustRightInd/>
        <w:spacing w:after="200" w:line="276" w:lineRule="auto"/>
        <w:jc w:val="center"/>
        <w:textAlignment w:val="auto"/>
      </w:pPr>
    </w:p>
    <w:p w:rsidR="0035355A" w:rsidRDefault="0035355A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:rsidR="0035355A" w:rsidRDefault="0035355A" w:rsidP="0035355A">
      <w:pPr>
        <w:jc w:val="both"/>
        <w:rPr>
          <w:szCs w:val="24"/>
        </w:rPr>
      </w:pPr>
    </w:p>
    <w:p w:rsidR="0035355A" w:rsidRDefault="0035355A" w:rsidP="0035355A">
      <w:pPr>
        <w:jc w:val="center"/>
        <w:rPr>
          <w:szCs w:val="24"/>
        </w:rPr>
      </w:pPr>
      <w:r>
        <w:rPr>
          <w:szCs w:val="24"/>
        </w:rPr>
        <w:t>Débat d’orientation budgétaire 2022</w:t>
      </w:r>
    </w:p>
    <w:p w:rsidR="0035355A" w:rsidRDefault="0035355A" w:rsidP="0035355A">
      <w:pPr>
        <w:rPr>
          <w:szCs w:val="24"/>
        </w:rPr>
      </w:pPr>
      <w:r w:rsidRPr="0097194E">
        <w:rPr>
          <w:noProof/>
        </w:rPr>
        <w:drawing>
          <wp:inline distT="0" distB="0" distL="0" distR="0" wp14:anchorId="0C3C86C0" wp14:editId="090A365D">
            <wp:extent cx="6119495" cy="8988527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98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55A" w:rsidRDefault="0035355A" w:rsidP="0035355A">
      <w:pPr>
        <w:overflowPunct/>
        <w:autoSpaceDE/>
        <w:autoSpaceDN/>
        <w:adjustRightInd/>
        <w:spacing w:after="200" w:line="276" w:lineRule="auto"/>
        <w:jc w:val="center"/>
        <w:textAlignment w:val="auto"/>
      </w:pPr>
    </w:p>
    <w:p w:rsidR="000A1ED6" w:rsidRPr="000A1ED6" w:rsidRDefault="000A1ED6" w:rsidP="000A1ED6">
      <w:pPr>
        <w:overflowPunct/>
        <w:autoSpaceDE/>
        <w:autoSpaceDN/>
        <w:adjustRightInd/>
        <w:jc w:val="center"/>
        <w:textAlignment w:val="auto"/>
        <w:rPr>
          <w:rFonts w:ascii="Arial Black" w:hAnsi="Arial Black"/>
          <w:sz w:val="32"/>
        </w:rPr>
      </w:pPr>
      <w:r w:rsidRPr="000A1ED6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DB2F0" wp14:editId="22266500">
                <wp:simplePos x="0" y="0"/>
                <wp:positionH relativeFrom="column">
                  <wp:posOffset>2009140</wp:posOffset>
                </wp:positionH>
                <wp:positionV relativeFrom="paragraph">
                  <wp:posOffset>-486410</wp:posOffset>
                </wp:positionV>
                <wp:extent cx="1921510" cy="10350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ED6" w:rsidRDefault="000A1ED6" w:rsidP="000A1E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A592598" wp14:editId="79042ED4">
                                  <wp:extent cx="1739900" cy="946150"/>
                                  <wp:effectExtent l="0" t="0" r="0" b="6350"/>
                                  <wp:docPr id="11" name="Image 11" descr="Blason CCA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lason CCA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9900" cy="94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8.2pt;margin-top:-38.3pt;width:151.3pt;height:81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" filled="f" stroked="f">
                <v:textbox style="mso-fit-shape-to-text:t">
                  <w:txbxContent>
                    <w:p w:rsidR="000A1ED6" w:rsidRDefault="000A1ED6" w:rsidP="000A1ED6">
                      <w:pPr>
                        <w:jc w:val="center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A592598" wp14:editId="79042ED4">
                            <wp:extent cx="1739900" cy="946150"/>
                            <wp:effectExtent l="0" t="0" r="0" b="6350"/>
                            <wp:docPr id="11" name="Image 11" descr="Blason CCA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lason CCA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9900" cy="94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1ED6" w:rsidRDefault="000A1ED6" w:rsidP="000A1ED6">
      <w:pPr>
        <w:overflowPunct/>
        <w:autoSpaceDE/>
        <w:autoSpaceDN/>
        <w:adjustRightInd/>
        <w:jc w:val="center"/>
        <w:textAlignment w:val="auto"/>
        <w:rPr>
          <w:rFonts w:ascii="Arial Black" w:hAnsi="Arial Black"/>
          <w:sz w:val="20"/>
        </w:rPr>
      </w:pPr>
    </w:p>
    <w:p w:rsidR="000A1ED6" w:rsidRDefault="000A1ED6" w:rsidP="000A1ED6">
      <w:pPr>
        <w:overflowPunct/>
        <w:autoSpaceDE/>
        <w:autoSpaceDN/>
        <w:adjustRightInd/>
        <w:jc w:val="center"/>
        <w:textAlignment w:val="auto"/>
        <w:rPr>
          <w:rFonts w:ascii="Arial Black" w:hAnsi="Arial Black"/>
          <w:sz w:val="20"/>
        </w:rPr>
      </w:pPr>
    </w:p>
    <w:p w:rsidR="000A1ED6" w:rsidRDefault="000A1ED6" w:rsidP="000A1ED6">
      <w:pPr>
        <w:overflowPunct/>
        <w:autoSpaceDE/>
        <w:autoSpaceDN/>
        <w:adjustRightInd/>
        <w:jc w:val="center"/>
        <w:textAlignment w:val="auto"/>
        <w:rPr>
          <w:rFonts w:ascii="Arial Black" w:hAnsi="Arial Black"/>
          <w:sz w:val="20"/>
        </w:rPr>
      </w:pPr>
    </w:p>
    <w:p w:rsidR="000A1ED6" w:rsidRDefault="000A1ED6" w:rsidP="000A1ED6">
      <w:pPr>
        <w:overflowPunct/>
        <w:autoSpaceDE/>
        <w:autoSpaceDN/>
        <w:adjustRightInd/>
        <w:jc w:val="center"/>
        <w:textAlignment w:val="auto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AIDE MENSUELLE</w:t>
      </w:r>
    </w:p>
    <w:p w:rsidR="000A1ED6" w:rsidRPr="000A1ED6" w:rsidRDefault="000A1ED6" w:rsidP="000A1ED6">
      <w:pPr>
        <w:overflowPunct/>
        <w:autoSpaceDE/>
        <w:autoSpaceDN/>
        <w:adjustRightInd/>
        <w:jc w:val="center"/>
        <w:textAlignment w:val="auto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ANNEE 2021</w:t>
      </w:r>
    </w:p>
    <w:p w:rsidR="000A1ED6" w:rsidRPr="000A1ED6" w:rsidRDefault="000A1ED6" w:rsidP="000A1E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529"/>
        </w:tabs>
        <w:overflowPunct/>
        <w:autoSpaceDE/>
        <w:autoSpaceDN/>
        <w:adjustRightInd/>
        <w:spacing w:before="120"/>
        <w:textAlignment w:val="auto"/>
        <w:outlineLvl w:val="1"/>
      </w:pPr>
      <w:r w:rsidRPr="000A1ED6">
        <w:tab/>
      </w:r>
      <w:r w:rsidRPr="000A1ED6">
        <w:tab/>
        <w:t>Email :</w:t>
      </w:r>
    </w:p>
    <w:p w:rsidR="000A1ED6" w:rsidRPr="000A1ED6" w:rsidRDefault="000A1ED6" w:rsidP="000A1E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529"/>
        </w:tabs>
        <w:overflowPunct/>
        <w:autoSpaceDE/>
        <w:autoSpaceDN/>
        <w:adjustRightInd/>
        <w:spacing w:before="120"/>
        <w:textAlignment w:val="auto"/>
        <w:outlineLvl w:val="1"/>
      </w:pPr>
      <w:r w:rsidRPr="000A1ED6">
        <w:tab/>
      </w:r>
      <w:r w:rsidRPr="000A1ED6">
        <w:tab/>
        <w:t xml:space="preserve">Portable : </w:t>
      </w:r>
    </w:p>
    <w:p w:rsidR="000A1ED6" w:rsidRPr="000A1ED6" w:rsidRDefault="000A1ED6" w:rsidP="000A1ED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529"/>
        </w:tabs>
        <w:overflowPunct/>
        <w:autoSpaceDE/>
        <w:autoSpaceDN/>
        <w:adjustRightInd/>
        <w:spacing w:before="120"/>
        <w:textAlignment w:val="auto"/>
        <w:outlineLvl w:val="1"/>
      </w:pPr>
      <w:r w:rsidRPr="000A1ED6">
        <w:t>76310 SAINTE-ADRESSE</w:t>
      </w:r>
      <w:r w:rsidRPr="000A1ED6">
        <w:tab/>
      </w:r>
      <w:r w:rsidRPr="000A1ED6">
        <w:tab/>
        <w:t>Téléphone fixe :</w:t>
      </w:r>
    </w:p>
    <w:p w:rsidR="000A1ED6" w:rsidRPr="000A1ED6" w:rsidRDefault="000A1ED6" w:rsidP="000A1ED6">
      <w:pPr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568"/>
        <w:gridCol w:w="1400"/>
        <w:gridCol w:w="1679"/>
        <w:gridCol w:w="1399"/>
        <w:gridCol w:w="2519"/>
      </w:tblGrid>
      <w:tr w:rsidR="000A1ED6" w:rsidRPr="000A1ED6" w:rsidTr="000A1ED6">
        <w:trPr>
          <w:cantSplit/>
          <w:trHeight w:val="553"/>
        </w:trPr>
        <w:tc>
          <w:tcPr>
            <w:tcW w:w="1440" w:type="dxa"/>
            <w:vMerge w:val="restart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z w:val="20"/>
              </w:rPr>
            </w:pPr>
            <w:r w:rsidRPr="000A1ED6">
              <w:rPr>
                <w:sz w:val="20"/>
              </w:rPr>
              <w:t>QUALITE</w:t>
            </w:r>
          </w:p>
        </w:tc>
        <w:tc>
          <w:tcPr>
            <w:tcW w:w="4646" w:type="dxa"/>
            <w:gridSpan w:val="3"/>
            <w:shd w:val="clear" w:color="auto" w:fill="E0E0E0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outlineLvl w:val="4"/>
              <w:rPr>
                <w:b/>
                <w:bCs/>
                <w:position w:val="-6"/>
              </w:rPr>
            </w:pPr>
            <w:r w:rsidRPr="000A1ED6">
              <w:rPr>
                <w:b/>
                <w:bCs/>
                <w:position w:val="-6"/>
              </w:rPr>
              <w:t>RESSOURCES</w:t>
            </w:r>
          </w:p>
        </w:tc>
        <w:tc>
          <w:tcPr>
            <w:tcW w:w="1399" w:type="dxa"/>
            <w:vMerge w:val="restart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z w:val="20"/>
              </w:rPr>
            </w:pPr>
            <w:r w:rsidRPr="000A1ED6">
              <w:rPr>
                <w:sz w:val="20"/>
              </w:rPr>
              <w:t>PERSONNES AU FOYER</w:t>
            </w:r>
          </w:p>
        </w:tc>
        <w:tc>
          <w:tcPr>
            <w:tcW w:w="2519" w:type="dxa"/>
            <w:tcBorders>
              <w:bottom w:val="nil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z w:val="20"/>
              </w:rPr>
            </w:pPr>
            <w:r w:rsidRPr="000A1ED6">
              <w:rPr>
                <w:sz w:val="20"/>
              </w:rPr>
              <w:t>RENSEIGNEMENTS COMPLEMENTAIRES</w:t>
            </w:r>
          </w:p>
        </w:tc>
      </w:tr>
      <w:tr w:rsidR="000A1ED6" w:rsidRPr="000A1ED6" w:rsidTr="000A1ED6">
        <w:trPr>
          <w:cantSplit/>
          <w:trHeight w:val="427"/>
        </w:trPr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0A1ED6">
              <w:rPr>
                <w:sz w:val="20"/>
              </w:rPr>
              <w:t>Organisme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0A1ED6">
              <w:rPr>
                <w:sz w:val="20"/>
              </w:rPr>
              <w:t>Montant mensuel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0A1ED6">
              <w:rPr>
                <w:sz w:val="20"/>
              </w:rPr>
              <w:t>Revenus</w:t>
            </w:r>
          </w:p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0A1ED6">
              <w:rPr>
                <w:sz w:val="20"/>
              </w:rPr>
              <w:t>Capitaux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519" w:type="dxa"/>
            <w:tcBorders>
              <w:top w:val="nil"/>
              <w:bottom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0A1ED6" w:rsidRPr="000A1ED6" w:rsidTr="000A1ED6">
        <w:trPr>
          <w:cantSplit/>
          <w:trHeight w:val="1779"/>
        </w:trPr>
        <w:tc>
          <w:tcPr>
            <w:tcW w:w="1440" w:type="dxa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568" w:type="dxa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400" w:type="dxa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0A1ED6">
              <w:rPr>
                <w:sz w:val="20"/>
              </w:rPr>
              <w:t>€</w:t>
            </w:r>
          </w:p>
        </w:tc>
        <w:tc>
          <w:tcPr>
            <w:tcW w:w="1679" w:type="dxa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0A1ED6" w:rsidRPr="000A1ED6" w:rsidTr="000A1ED6">
        <w:trPr>
          <w:cantSplit/>
          <w:trHeight w:val="598"/>
        </w:trPr>
        <w:tc>
          <w:tcPr>
            <w:tcW w:w="4407" w:type="dxa"/>
            <w:gridSpan w:val="3"/>
          </w:tcPr>
          <w:p w:rsidR="000A1ED6" w:rsidRPr="000A1ED6" w:rsidRDefault="000A1ED6" w:rsidP="000A1ED6">
            <w:pPr>
              <w:keepNext/>
              <w:overflowPunct/>
              <w:autoSpaceDE/>
              <w:autoSpaceDN/>
              <w:adjustRightInd/>
              <w:spacing w:before="240"/>
              <w:textAlignment w:val="auto"/>
              <w:outlineLvl w:val="2"/>
              <w:rPr>
                <w:b/>
                <w:bCs/>
                <w:szCs w:val="24"/>
              </w:rPr>
            </w:pPr>
            <w:r w:rsidRPr="000A1ED6">
              <w:rPr>
                <w:b/>
                <w:bCs/>
                <w:szCs w:val="24"/>
              </w:rPr>
              <w:t>Montant mensuel des ressources</w:t>
            </w:r>
          </w:p>
        </w:tc>
        <w:tc>
          <w:tcPr>
            <w:tcW w:w="1679" w:type="dxa"/>
            <w:tcBorders>
              <w:right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240" w:line="480" w:lineRule="auto"/>
              <w:jc w:val="right"/>
              <w:textAlignment w:val="auto"/>
              <w:rPr>
                <w:b/>
                <w:bCs/>
                <w:position w:val="-6"/>
                <w:sz w:val="28"/>
              </w:rPr>
            </w:pPr>
            <w:r w:rsidRPr="000A1ED6">
              <w:rPr>
                <w:b/>
                <w:bCs/>
                <w:position w:val="-6"/>
                <w:sz w:val="28"/>
              </w:rPr>
              <w:t>€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0A1ED6">
              <w:rPr>
                <w:b/>
                <w:bCs/>
                <w:sz w:val="20"/>
              </w:rPr>
              <w:t xml:space="preserve">DATE : </w:t>
            </w:r>
          </w:p>
        </w:tc>
      </w:tr>
    </w:tbl>
    <w:p w:rsidR="000A1ED6" w:rsidRPr="000A1ED6" w:rsidRDefault="000A1ED6" w:rsidP="000A1ED6">
      <w:pPr>
        <w:overflowPunct/>
        <w:autoSpaceDE/>
        <w:autoSpaceDN/>
        <w:adjustRightInd/>
        <w:textAlignment w:val="auto"/>
        <w:rPr>
          <w:sz w:val="18"/>
          <w:szCs w:val="18"/>
        </w:rPr>
      </w:pPr>
    </w:p>
    <w:tbl>
      <w:tblPr>
        <w:tblW w:w="6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1701"/>
        <w:gridCol w:w="1560"/>
      </w:tblGrid>
      <w:tr w:rsidR="000A1ED6" w:rsidRPr="000A1ED6" w:rsidTr="00967069">
        <w:trPr>
          <w:cantSplit/>
          <w:trHeight w:val="392"/>
        </w:trPr>
        <w:tc>
          <w:tcPr>
            <w:tcW w:w="6166" w:type="dxa"/>
            <w:gridSpan w:val="4"/>
            <w:shd w:val="clear" w:color="auto" w:fill="E0E0E0"/>
            <w:vAlign w:val="center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</w:pPr>
            <w:r w:rsidRPr="000A1ED6">
              <w:rPr>
                <w:b/>
                <w:bCs/>
              </w:rPr>
              <w:t>CHARGES</w:t>
            </w:r>
          </w:p>
        </w:tc>
      </w:tr>
      <w:tr w:rsidR="000A1ED6" w:rsidRPr="000A1ED6" w:rsidTr="00967069">
        <w:trPr>
          <w:trHeight w:val="526"/>
        </w:trPr>
        <w:tc>
          <w:tcPr>
            <w:tcW w:w="1346" w:type="dxa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240" w:after="120"/>
              <w:textAlignment w:val="auto"/>
              <w:rPr>
                <w:sz w:val="22"/>
                <w:szCs w:val="22"/>
              </w:rPr>
            </w:pPr>
            <w:r w:rsidRPr="000A1ED6">
              <w:rPr>
                <w:sz w:val="22"/>
                <w:szCs w:val="22"/>
              </w:rPr>
              <w:t>LOYER</w:t>
            </w:r>
          </w:p>
        </w:tc>
        <w:tc>
          <w:tcPr>
            <w:tcW w:w="1559" w:type="dxa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240" w:after="120"/>
              <w:jc w:val="right"/>
              <w:textAlignment w:val="auto"/>
              <w:rPr>
                <w:b/>
                <w:bCs/>
                <w:sz w:val="28"/>
              </w:rPr>
            </w:pPr>
            <w:r w:rsidRPr="000A1ED6">
              <w:rPr>
                <w:b/>
                <w:bCs/>
                <w:sz w:val="28"/>
              </w:rPr>
              <w:t>€</w:t>
            </w:r>
          </w:p>
        </w:tc>
        <w:tc>
          <w:tcPr>
            <w:tcW w:w="1701" w:type="dxa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240" w:after="120"/>
              <w:textAlignment w:val="auto"/>
              <w:rPr>
                <w:sz w:val="22"/>
                <w:szCs w:val="22"/>
              </w:rPr>
            </w:pPr>
            <w:r w:rsidRPr="000A1ED6">
              <w:rPr>
                <w:sz w:val="22"/>
                <w:szCs w:val="22"/>
              </w:rPr>
              <w:t>DIVERS</w:t>
            </w:r>
          </w:p>
        </w:tc>
        <w:tc>
          <w:tcPr>
            <w:tcW w:w="1560" w:type="dxa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240" w:after="120"/>
              <w:jc w:val="right"/>
              <w:textAlignment w:val="auto"/>
              <w:rPr>
                <w:b/>
                <w:bCs/>
                <w:sz w:val="28"/>
              </w:rPr>
            </w:pPr>
            <w:r w:rsidRPr="000A1ED6">
              <w:rPr>
                <w:b/>
                <w:bCs/>
                <w:sz w:val="28"/>
              </w:rPr>
              <w:t xml:space="preserve"> €</w:t>
            </w:r>
          </w:p>
        </w:tc>
      </w:tr>
      <w:tr w:rsidR="000A1ED6" w:rsidRPr="000A1ED6" w:rsidTr="00967069">
        <w:trPr>
          <w:cantSplit/>
          <w:trHeight w:val="422"/>
        </w:trPr>
        <w:tc>
          <w:tcPr>
            <w:tcW w:w="4606" w:type="dxa"/>
            <w:gridSpan w:val="3"/>
            <w:vAlign w:val="center"/>
          </w:tcPr>
          <w:p w:rsidR="000A1ED6" w:rsidRPr="000A1ED6" w:rsidRDefault="000A1ED6" w:rsidP="000A1ED6">
            <w:pPr>
              <w:keepNext/>
              <w:overflowPunct/>
              <w:autoSpaceDE/>
              <w:autoSpaceDN/>
              <w:adjustRightInd/>
              <w:spacing w:before="240" w:after="240"/>
              <w:jc w:val="center"/>
              <w:textAlignment w:val="auto"/>
              <w:outlineLvl w:val="2"/>
              <w:rPr>
                <w:b/>
                <w:bCs/>
                <w:position w:val="-6"/>
                <w:szCs w:val="24"/>
              </w:rPr>
            </w:pPr>
            <w:r w:rsidRPr="000A1ED6">
              <w:rPr>
                <w:b/>
                <w:bCs/>
                <w:position w:val="-6"/>
                <w:szCs w:val="24"/>
              </w:rPr>
              <w:t>Montant mensuel des charges</w:t>
            </w:r>
          </w:p>
        </w:tc>
        <w:tc>
          <w:tcPr>
            <w:tcW w:w="1560" w:type="dxa"/>
            <w:vAlign w:val="center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b/>
                <w:bCs/>
                <w:position w:val="-6"/>
                <w:sz w:val="28"/>
              </w:rPr>
            </w:pPr>
            <w:r w:rsidRPr="000A1ED6">
              <w:rPr>
                <w:b/>
                <w:bCs/>
                <w:position w:val="-6"/>
                <w:sz w:val="28"/>
              </w:rPr>
              <w:t xml:space="preserve">   </w:t>
            </w:r>
          </w:p>
        </w:tc>
      </w:tr>
    </w:tbl>
    <w:p w:rsidR="000A1ED6" w:rsidRPr="000A1ED6" w:rsidRDefault="000A1ED6" w:rsidP="000A1ED6">
      <w:pPr>
        <w:overflowPunct/>
        <w:autoSpaceDE/>
        <w:autoSpaceDN/>
        <w:adjustRightInd/>
        <w:spacing w:before="120"/>
        <w:ind w:right="709"/>
        <w:textAlignment w:val="auto"/>
        <w:rPr>
          <w:b/>
          <w:bCs/>
          <w:sz w:val="16"/>
          <w:szCs w:val="16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18"/>
        <w:gridCol w:w="3402"/>
      </w:tblGrid>
      <w:tr w:rsidR="000A1ED6" w:rsidRPr="000A1ED6" w:rsidTr="00967069">
        <w:trPr>
          <w:cantSplit/>
        </w:trPr>
        <w:tc>
          <w:tcPr>
            <w:tcW w:w="6166" w:type="dxa"/>
            <w:gridSpan w:val="3"/>
            <w:shd w:val="clear" w:color="auto" w:fill="E0E0E0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8"/>
                <w:highlight w:val="lightGray"/>
              </w:rPr>
            </w:pPr>
            <w:r w:rsidRPr="000A1ED6">
              <w:rPr>
                <w:b/>
                <w:bCs/>
                <w:sz w:val="20"/>
              </w:rPr>
              <w:t>Enfants à charge : 140 €</w:t>
            </w:r>
            <w:r w:rsidRPr="000A1ED6">
              <w:rPr>
                <w:b/>
                <w:bCs/>
                <w:sz w:val="20"/>
              </w:rPr>
              <w:br/>
            </w:r>
            <w:r w:rsidRPr="000A1ED6">
              <w:rPr>
                <w:b/>
                <w:bCs/>
                <w:sz w:val="18"/>
                <w:szCs w:val="18"/>
              </w:rPr>
              <w:t>si garde alternée : 70 € / enfant</w:t>
            </w:r>
            <w:r w:rsidRPr="000A1ED6">
              <w:rPr>
                <w:b/>
                <w:bCs/>
                <w:sz w:val="18"/>
                <w:szCs w:val="18"/>
              </w:rPr>
              <w:br/>
              <w:t xml:space="preserve">si </w:t>
            </w:r>
            <w:proofErr w:type="spellStart"/>
            <w:r w:rsidRPr="000A1ED6">
              <w:rPr>
                <w:b/>
                <w:bCs/>
                <w:sz w:val="18"/>
                <w:szCs w:val="18"/>
              </w:rPr>
              <w:t>w.e</w:t>
            </w:r>
            <w:proofErr w:type="spellEnd"/>
            <w:r w:rsidRPr="000A1ED6">
              <w:rPr>
                <w:b/>
                <w:bCs/>
                <w:sz w:val="18"/>
                <w:szCs w:val="18"/>
              </w:rPr>
              <w:t>. et vacances : 47 € / enfant</w:t>
            </w:r>
          </w:p>
        </w:tc>
      </w:tr>
      <w:tr w:rsidR="000A1ED6" w:rsidRPr="000A1ED6" w:rsidTr="00967069">
        <w:trPr>
          <w:trHeight w:val="557"/>
        </w:trPr>
        <w:tc>
          <w:tcPr>
            <w:tcW w:w="1346" w:type="dxa"/>
            <w:shd w:val="clear" w:color="auto" w:fill="auto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120"/>
              <w:ind w:right="709"/>
              <w:jc w:val="center"/>
              <w:textAlignment w:val="auto"/>
              <w:rPr>
                <w:bCs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120"/>
              <w:ind w:right="-70"/>
              <w:textAlignment w:val="auto"/>
              <w:rPr>
                <w:b/>
                <w:bCs/>
              </w:rPr>
            </w:pPr>
            <w:r w:rsidRPr="000A1ED6">
              <w:rPr>
                <w:b/>
                <w:bCs/>
              </w:rPr>
              <w:t xml:space="preserve"> x         €</w:t>
            </w:r>
          </w:p>
        </w:tc>
        <w:tc>
          <w:tcPr>
            <w:tcW w:w="3402" w:type="dxa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spacing w:before="120"/>
              <w:ind w:right="709"/>
              <w:jc w:val="right"/>
              <w:textAlignment w:val="auto"/>
              <w:rPr>
                <w:b/>
                <w:bCs/>
                <w:szCs w:val="24"/>
              </w:rPr>
            </w:pPr>
            <w:r w:rsidRPr="000A1ED6">
              <w:rPr>
                <w:b/>
                <w:bCs/>
                <w:szCs w:val="24"/>
              </w:rPr>
              <w:t xml:space="preserve"> €</w:t>
            </w:r>
          </w:p>
        </w:tc>
      </w:tr>
    </w:tbl>
    <w:p w:rsidR="000A1ED6" w:rsidRPr="000A1ED6" w:rsidRDefault="000A1ED6" w:rsidP="000A1ED6">
      <w:pPr>
        <w:overflowPunct/>
        <w:autoSpaceDE/>
        <w:autoSpaceDN/>
        <w:adjustRightInd/>
        <w:spacing w:before="240" w:after="240" w:line="360" w:lineRule="auto"/>
        <w:ind w:right="709"/>
        <w:textAlignment w:val="auto"/>
        <w:rPr>
          <w:b/>
          <w:bCs/>
          <w:sz w:val="36"/>
          <w:szCs w:val="36"/>
          <w:bdr w:val="single" w:sz="4" w:space="0" w:color="auto"/>
        </w:rPr>
      </w:pPr>
      <w:r w:rsidRPr="000A1ED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D733D" wp14:editId="573AB484">
                <wp:simplePos x="0" y="0"/>
                <wp:positionH relativeFrom="column">
                  <wp:posOffset>4295140</wp:posOffset>
                </wp:positionH>
                <wp:positionV relativeFrom="paragraph">
                  <wp:posOffset>49530</wp:posOffset>
                </wp:positionV>
                <wp:extent cx="1714500" cy="44577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ED6" w:rsidRPr="000B4897" w:rsidRDefault="000A1ED6" w:rsidP="000A1ED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Pr="000B4897">
                              <w:rPr>
                                <w:b/>
                                <w:sz w:val="32"/>
                                <w:szCs w:val="32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38.2pt;margin-top:3.9pt;width:135pt;height: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" strokeweight="3pt">
                <v:stroke linestyle="thinThin"/>
                <v:textbox>
                  <w:txbxContent>
                    <w:p w:rsidR="000A1ED6" w:rsidRPr="000B4897" w:rsidRDefault="000A1ED6" w:rsidP="000A1ED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</w:t>
                      </w:r>
                      <w:r w:rsidRPr="000B4897">
                        <w:rPr>
                          <w:b/>
                          <w:sz w:val="32"/>
                          <w:szCs w:val="3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Pr="000A1ED6">
        <w:rPr>
          <w:b/>
          <w:bCs/>
          <w:sz w:val="28"/>
          <w:szCs w:val="28"/>
        </w:rPr>
        <w:t>Montant net des ressources mensuelles</w:t>
      </w:r>
      <w:r w:rsidRPr="000A1ED6">
        <w:rPr>
          <w:b/>
          <w:bCs/>
          <w:sz w:val="32"/>
        </w:rPr>
        <w:t xml:space="preserve"> :           </w:t>
      </w:r>
      <w:r w:rsidRPr="000A1ED6">
        <w:rPr>
          <w:b/>
          <w:bCs/>
          <w:sz w:val="20"/>
        </w:rPr>
        <w:t> </w:t>
      </w:r>
    </w:p>
    <w:p w:rsidR="000A1ED6" w:rsidRPr="000A1ED6" w:rsidRDefault="000A1ED6" w:rsidP="000A1ED6">
      <w:pPr>
        <w:tabs>
          <w:tab w:val="left" w:pos="2552"/>
        </w:tabs>
        <w:overflowPunct/>
        <w:autoSpaceDE/>
        <w:autoSpaceDN/>
        <w:adjustRightInd/>
        <w:spacing w:after="120"/>
        <w:textAlignment w:val="auto"/>
        <w:rPr>
          <w:b/>
          <w:bCs/>
          <w:sz w:val="22"/>
          <w:szCs w:val="22"/>
        </w:rPr>
      </w:pPr>
      <w:r w:rsidRPr="000A1ED6">
        <w:rPr>
          <w:b/>
          <w:bCs/>
          <w:sz w:val="28"/>
          <w:szCs w:val="28"/>
        </w:rPr>
        <w:t>Décision CCAS :</w:t>
      </w:r>
      <w:r w:rsidRPr="000A1ED6">
        <w:rPr>
          <w:b/>
          <w:bCs/>
          <w:sz w:val="22"/>
          <w:szCs w:val="22"/>
        </w:rPr>
        <w:tab/>
      </w:r>
      <w:r w:rsidRPr="000A1ED6">
        <w:rPr>
          <w:b/>
          <w:bCs/>
          <w:sz w:val="28"/>
          <w:szCs w:val="28"/>
        </w:rPr>
        <w:sym w:font="Wingdings" w:char="F0A8"/>
      </w:r>
      <w:r w:rsidRPr="000A1ED6">
        <w:rPr>
          <w:b/>
          <w:bCs/>
          <w:sz w:val="22"/>
          <w:szCs w:val="22"/>
        </w:rPr>
        <w:t xml:space="preserve"> Aide mensuelle de 60 € par tickets</w:t>
      </w:r>
      <w:r>
        <w:rPr>
          <w:b/>
          <w:bCs/>
          <w:sz w:val="22"/>
          <w:szCs w:val="22"/>
        </w:rPr>
        <w:t xml:space="preserve">      </w:t>
      </w:r>
      <w:r w:rsidRPr="000A1ED6">
        <w:rPr>
          <w:sz w:val="22"/>
          <w:szCs w:val="22"/>
        </w:rPr>
        <w:tab/>
      </w:r>
      <w:r w:rsidRPr="000A1ED6">
        <w:rPr>
          <w:b/>
          <w:bCs/>
          <w:sz w:val="28"/>
          <w:szCs w:val="28"/>
        </w:rPr>
        <w:sym w:font="Wingdings" w:char="F06F"/>
      </w:r>
      <w:r w:rsidRPr="000A1ED6">
        <w:rPr>
          <w:b/>
          <w:bCs/>
          <w:sz w:val="22"/>
          <w:szCs w:val="22"/>
        </w:rPr>
        <w:t xml:space="preserve"> Refus 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261"/>
        <w:gridCol w:w="1419"/>
        <w:gridCol w:w="1620"/>
        <w:gridCol w:w="1558"/>
        <w:gridCol w:w="1682"/>
      </w:tblGrid>
      <w:tr w:rsidR="000A1ED6" w:rsidRPr="000A1ED6" w:rsidTr="00967069">
        <w:trPr>
          <w:trHeight w:val="3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1ED6" w:rsidRPr="000A1ED6" w:rsidRDefault="000A1ED6" w:rsidP="000A1ED6">
            <w:pPr>
              <w:textAlignment w:val="auto"/>
              <w:rPr>
                <w:sz w:val="18"/>
                <w:szCs w:val="18"/>
              </w:rPr>
            </w:pPr>
            <w:r w:rsidRPr="000A1ED6">
              <w:rPr>
                <w:b/>
                <w:i/>
                <w:sz w:val="22"/>
                <w:szCs w:val="22"/>
                <w:u w:val="single"/>
              </w:rPr>
              <w:t>Personne seule</w:t>
            </w:r>
            <w:r w:rsidRPr="000A1ED6">
              <w:rPr>
                <w:sz w:val="22"/>
                <w:szCs w:val="22"/>
              </w:rPr>
              <w:t xml:space="preserve">              </w:t>
            </w:r>
            <w:r w:rsidRPr="000A1ED6">
              <w:rPr>
                <w:sz w:val="18"/>
                <w:szCs w:val="18"/>
              </w:rPr>
              <w:t>(au 01/01/21)</w:t>
            </w:r>
          </w:p>
          <w:p w:rsidR="000A1ED6" w:rsidRPr="000A1ED6" w:rsidRDefault="000A1ED6" w:rsidP="000A1ED6">
            <w:pPr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Montant des ressources mensuelles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 moins de </w:t>
            </w:r>
          </w:p>
          <w:p w:rsidR="000A1ED6" w:rsidRPr="000A1ED6" w:rsidRDefault="000A1ED6" w:rsidP="000A1ED6">
            <w:pPr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510 euros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de 510 euros </w:t>
            </w:r>
          </w:p>
          <w:p w:rsidR="000A1ED6" w:rsidRPr="000A1ED6" w:rsidRDefault="000A1ED6" w:rsidP="000A1ED6">
            <w:pPr>
              <w:tabs>
                <w:tab w:val="left" w:pos="4506"/>
              </w:tabs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  à 617 euros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de 618 euros</w:t>
            </w:r>
          </w:p>
          <w:p w:rsidR="000A1ED6" w:rsidRPr="000A1ED6" w:rsidRDefault="000A1ED6" w:rsidP="000A1ED6">
            <w:pPr>
              <w:tabs>
                <w:tab w:val="left" w:pos="4506"/>
              </w:tabs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   à 834 euros</w:t>
            </w:r>
          </w:p>
        </w:tc>
        <w:tc>
          <w:tcPr>
            <w:tcW w:w="1682" w:type="dxa"/>
            <w:shd w:val="clear" w:color="auto" w:fill="CCCCCC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</w:p>
        </w:tc>
      </w:tr>
      <w:tr w:rsidR="000A1ED6" w:rsidRPr="000A1ED6" w:rsidTr="00967069">
        <w:trPr>
          <w:trHeight w:val="3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1ED6" w:rsidRPr="000A1ED6" w:rsidRDefault="000A1ED6" w:rsidP="000A1ED6">
            <w:pPr>
              <w:tabs>
                <w:tab w:val="left" w:pos="0"/>
              </w:tabs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Montant de l'aide accordée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tabs>
                <w:tab w:val="left" w:pos="621"/>
              </w:tabs>
              <w:ind w:left="535"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81 euros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tabs>
                <w:tab w:val="left" w:pos="621"/>
                <w:tab w:val="left" w:pos="4506"/>
              </w:tabs>
              <w:ind w:left="535"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61 euros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tabs>
                <w:tab w:val="left" w:pos="621"/>
                <w:tab w:val="left" w:pos="4506"/>
              </w:tabs>
              <w:ind w:left="535"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43 euros</w:t>
            </w:r>
          </w:p>
        </w:tc>
        <w:tc>
          <w:tcPr>
            <w:tcW w:w="1682" w:type="dxa"/>
            <w:shd w:val="clear" w:color="auto" w:fill="D9D9D9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</w:p>
        </w:tc>
      </w:tr>
      <w:tr w:rsidR="000A1ED6" w:rsidRPr="000A1ED6" w:rsidTr="00967069">
        <w:trPr>
          <w:trHeight w:val="3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1ED6" w:rsidRPr="000A1ED6" w:rsidRDefault="000A1ED6" w:rsidP="000A1ED6">
            <w:pPr>
              <w:textAlignment w:val="auto"/>
              <w:rPr>
                <w:b/>
                <w:i/>
                <w:sz w:val="22"/>
                <w:szCs w:val="22"/>
                <w:u w:val="single"/>
              </w:rPr>
            </w:pPr>
            <w:r w:rsidRPr="000A1ED6">
              <w:rPr>
                <w:b/>
                <w:i/>
                <w:sz w:val="22"/>
                <w:szCs w:val="22"/>
                <w:u w:val="single"/>
              </w:rPr>
              <w:t>Personne seule avec enfants</w:t>
            </w:r>
          </w:p>
          <w:p w:rsidR="000A1ED6" w:rsidRPr="000A1ED6" w:rsidRDefault="000A1ED6" w:rsidP="000A1ED6">
            <w:pPr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Montant des ressources mensuelles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 moins de </w:t>
            </w:r>
          </w:p>
          <w:p w:rsidR="000A1ED6" w:rsidRPr="000A1ED6" w:rsidRDefault="000A1ED6" w:rsidP="000A1ED6">
            <w:pPr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510 euros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de 510 euros </w:t>
            </w:r>
          </w:p>
          <w:p w:rsidR="000A1ED6" w:rsidRPr="000A1ED6" w:rsidRDefault="000A1ED6" w:rsidP="000A1ED6">
            <w:pPr>
              <w:tabs>
                <w:tab w:val="left" w:pos="4506"/>
              </w:tabs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  à 617 euros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de 618 euros</w:t>
            </w:r>
          </w:p>
          <w:p w:rsidR="000A1ED6" w:rsidRPr="000A1ED6" w:rsidRDefault="000A1ED6" w:rsidP="000A1ED6">
            <w:pPr>
              <w:tabs>
                <w:tab w:val="left" w:pos="4506"/>
              </w:tabs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   à 834 euros</w:t>
            </w:r>
          </w:p>
        </w:tc>
        <w:tc>
          <w:tcPr>
            <w:tcW w:w="1682" w:type="dxa"/>
            <w:shd w:val="clear" w:color="auto" w:fill="CCCCCC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de 835 euros</w:t>
            </w:r>
          </w:p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à 1028 euros</w:t>
            </w:r>
          </w:p>
        </w:tc>
      </w:tr>
      <w:tr w:rsidR="000A1ED6" w:rsidRPr="000A1ED6" w:rsidTr="00967069">
        <w:trPr>
          <w:trHeight w:val="3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textAlignment w:val="auto"/>
              <w:rPr>
                <w:b/>
                <w:i/>
                <w:sz w:val="22"/>
                <w:szCs w:val="22"/>
                <w:u w:val="single"/>
              </w:rPr>
            </w:pPr>
            <w:r w:rsidRPr="000A1ED6">
              <w:rPr>
                <w:i/>
                <w:sz w:val="22"/>
                <w:szCs w:val="22"/>
              </w:rPr>
              <w:t>Montant de l’aide accordée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106 euros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86 euros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68 euros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tabs>
                <w:tab w:val="left" w:pos="4506"/>
              </w:tabs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60 euros</w:t>
            </w:r>
          </w:p>
        </w:tc>
      </w:tr>
      <w:tr w:rsidR="000A1ED6" w:rsidRPr="000A1ED6" w:rsidTr="00967069">
        <w:trPr>
          <w:trHeight w:val="3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1ED6" w:rsidRPr="000A1ED6" w:rsidRDefault="000A1ED6" w:rsidP="000A1ED6">
            <w:pPr>
              <w:textAlignment w:val="auto"/>
              <w:rPr>
                <w:b/>
                <w:i/>
                <w:sz w:val="22"/>
                <w:szCs w:val="22"/>
                <w:u w:val="single"/>
              </w:rPr>
            </w:pPr>
            <w:r w:rsidRPr="000A1ED6">
              <w:rPr>
                <w:b/>
                <w:i/>
                <w:sz w:val="22"/>
                <w:szCs w:val="22"/>
                <w:u w:val="single"/>
              </w:rPr>
              <w:t>Couple</w:t>
            </w:r>
          </w:p>
          <w:p w:rsidR="000A1ED6" w:rsidRPr="000A1ED6" w:rsidRDefault="000A1ED6" w:rsidP="000A1ED6">
            <w:pPr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Montant des ressources mensuelles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moins de </w:t>
            </w:r>
          </w:p>
          <w:p w:rsidR="000A1ED6" w:rsidRPr="000A1ED6" w:rsidRDefault="000A1ED6" w:rsidP="000A1ED6">
            <w:pPr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726 euros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de 727 euros</w:t>
            </w:r>
          </w:p>
          <w:p w:rsidR="000A1ED6" w:rsidRPr="000A1ED6" w:rsidRDefault="000A1ED6" w:rsidP="000A1ED6">
            <w:pPr>
              <w:tabs>
                <w:tab w:val="left" w:pos="4506"/>
              </w:tabs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  à 823 euros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de 824 euros</w:t>
            </w:r>
          </w:p>
          <w:p w:rsidR="000A1ED6" w:rsidRPr="000A1ED6" w:rsidRDefault="000A1ED6" w:rsidP="000A1ED6">
            <w:pPr>
              <w:tabs>
                <w:tab w:val="left" w:pos="4506"/>
              </w:tabs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  à 978 euros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1ED6" w:rsidRPr="000A1ED6" w:rsidRDefault="000A1ED6" w:rsidP="000A1ED6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de 979 euros</w:t>
            </w:r>
          </w:p>
          <w:p w:rsidR="000A1ED6" w:rsidRPr="000A1ED6" w:rsidRDefault="000A1ED6" w:rsidP="000A1ED6">
            <w:pPr>
              <w:tabs>
                <w:tab w:val="left" w:pos="4506"/>
              </w:tabs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 xml:space="preserve">  à  1.172 euros </w:t>
            </w:r>
          </w:p>
        </w:tc>
      </w:tr>
      <w:tr w:rsidR="000A1ED6" w:rsidRPr="000A1ED6" w:rsidTr="00967069">
        <w:trPr>
          <w:trHeight w:val="30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tabs>
                <w:tab w:val="left" w:pos="4506"/>
              </w:tabs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Montant de l'aide accordée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106 euros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tabs>
                <w:tab w:val="left" w:pos="4506"/>
              </w:tabs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86 euros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tabs>
                <w:tab w:val="left" w:pos="4506"/>
              </w:tabs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68 euros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D6" w:rsidRPr="000A1ED6" w:rsidRDefault="000A1ED6" w:rsidP="000A1ED6">
            <w:pPr>
              <w:tabs>
                <w:tab w:val="left" w:pos="4506"/>
              </w:tabs>
              <w:jc w:val="center"/>
              <w:textAlignment w:val="auto"/>
              <w:rPr>
                <w:i/>
                <w:sz w:val="22"/>
                <w:szCs w:val="22"/>
              </w:rPr>
            </w:pPr>
            <w:r w:rsidRPr="000A1ED6">
              <w:rPr>
                <w:i/>
                <w:sz w:val="22"/>
                <w:szCs w:val="22"/>
              </w:rPr>
              <w:t>60 euros</w:t>
            </w:r>
          </w:p>
        </w:tc>
      </w:tr>
    </w:tbl>
    <w:p w:rsidR="00F34541" w:rsidRDefault="00F34541" w:rsidP="000A1ED6">
      <w:pPr>
        <w:overflowPunct/>
        <w:autoSpaceDE/>
        <w:autoSpaceDN/>
        <w:adjustRightInd/>
        <w:spacing w:after="200" w:line="276" w:lineRule="auto"/>
        <w:textAlignment w:val="auto"/>
      </w:pPr>
    </w:p>
    <w:sectPr w:rsidR="00F34541" w:rsidSect="00A87AFD">
      <w:footerReference w:type="default" r:id="rId17"/>
      <w:pgSz w:w="11906" w:h="16838"/>
      <w:pgMar w:top="567" w:right="991" w:bottom="567" w:left="1276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9F" w:rsidRDefault="0070309F" w:rsidP="00D5260C">
      <w:r>
        <w:separator/>
      </w:r>
    </w:p>
  </w:endnote>
  <w:endnote w:type="continuationSeparator" w:id="0">
    <w:p w:rsidR="0070309F" w:rsidRDefault="0070309F" w:rsidP="00D5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934327"/>
      <w:docPartObj>
        <w:docPartGallery w:val="Page Numbers (Bottom of Page)"/>
        <w:docPartUnique/>
      </w:docPartObj>
    </w:sdtPr>
    <w:sdtEndPr/>
    <w:sdtContent>
      <w:p w:rsidR="00A87AFD" w:rsidRDefault="00A87AF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2FA">
          <w:rPr>
            <w:noProof/>
          </w:rPr>
          <w:t>6</w:t>
        </w:r>
        <w:r>
          <w:fldChar w:fldCharType="end"/>
        </w:r>
      </w:p>
    </w:sdtContent>
  </w:sdt>
  <w:p w:rsidR="00B93D03" w:rsidRDefault="00B93D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9F" w:rsidRDefault="0070309F" w:rsidP="00D5260C">
      <w:r>
        <w:separator/>
      </w:r>
    </w:p>
  </w:footnote>
  <w:footnote w:type="continuationSeparator" w:id="0">
    <w:p w:rsidR="0070309F" w:rsidRDefault="0070309F" w:rsidP="00D5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713"/>
        </w:tabs>
        <w:ind w:left="1713" w:hanging="360"/>
      </w:pPr>
      <w:rPr>
        <w:rFonts w:ascii="Wingdings" w:hAnsi="Wingdings"/>
      </w:rPr>
    </w:lvl>
  </w:abstractNum>
  <w:abstractNum w:abstractNumId="2">
    <w:nsid w:val="05BF1D83"/>
    <w:multiLevelType w:val="hybridMultilevel"/>
    <w:tmpl w:val="9EC6B118"/>
    <w:lvl w:ilvl="0" w:tplc="829AD9A2">
      <w:start w:val="1"/>
      <w:numFmt w:val="upperLetter"/>
      <w:lvlText w:val="%1."/>
      <w:lvlJc w:val="left"/>
      <w:pPr>
        <w:ind w:left="17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7C83075"/>
    <w:multiLevelType w:val="hybridMultilevel"/>
    <w:tmpl w:val="57444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1893"/>
    <w:multiLevelType w:val="hybridMultilevel"/>
    <w:tmpl w:val="AB1AB11A"/>
    <w:lvl w:ilvl="0" w:tplc="56BE228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BE756F6"/>
    <w:multiLevelType w:val="hybridMultilevel"/>
    <w:tmpl w:val="DCC2BA16"/>
    <w:lvl w:ilvl="0" w:tplc="ACB4F7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D93A7F"/>
    <w:multiLevelType w:val="hybridMultilevel"/>
    <w:tmpl w:val="CC9CF616"/>
    <w:lvl w:ilvl="0" w:tplc="040C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0F4D364D"/>
    <w:multiLevelType w:val="hybridMultilevel"/>
    <w:tmpl w:val="720465A4"/>
    <w:lvl w:ilvl="0" w:tplc="56BE2282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>
    <w:nsid w:val="16FB4204"/>
    <w:multiLevelType w:val="hybridMultilevel"/>
    <w:tmpl w:val="B764EED8"/>
    <w:lvl w:ilvl="0" w:tplc="040C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>
    <w:nsid w:val="20242CBA"/>
    <w:multiLevelType w:val="hybridMultilevel"/>
    <w:tmpl w:val="C422C66A"/>
    <w:lvl w:ilvl="0" w:tplc="040C0013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CBE20C2"/>
    <w:multiLevelType w:val="hybridMultilevel"/>
    <w:tmpl w:val="1646D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57D35"/>
    <w:multiLevelType w:val="hybridMultilevel"/>
    <w:tmpl w:val="9406293A"/>
    <w:lvl w:ilvl="0" w:tplc="040C0019">
      <w:start w:val="1"/>
      <w:numFmt w:val="lowerLetter"/>
      <w:lvlText w:val="%1."/>
      <w:lvlJc w:val="left"/>
      <w:pPr>
        <w:ind w:left="21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>
    <w:nsid w:val="32674718"/>
    <w:multiLevelType w:val="hybridMultilevel"/>
    <w:tmpl w:val="A2705584"/>
    <w:lvl w:ilvl="0" w:tplc="040C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>
    <w:nsid w:val="337001A9"/>
    <w:multiLevelType w:val="hybridMultilevel"/>
    <w:tmpl w:val="1AFEF0B6"/>
    <w:lvl w:ilvl="0" w:tplc="A818169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33AE4BD3"/>
    <w:multiLevelType w:val="hybridMultilevel"/>
    <w:tmpl w:val="4AD4FA0E"/>
    <w:lvl w:ilvl="0" w:tplc="040C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356946BF"/>
    <w:multiLevelType w:val="hybridMultilevel"/>
    <w:tmpl w:val="E332A5AA"/>
    <w:lvl w:ilvl="0" w:tplc="ACAE1D06">
      <w:start w:val="1"/>
      <w:numFmt w:val="lowerLetter"/>
      <w:lvlText w:val="%1."/>
      <w:lvlJc w:val="left"/>
      <w:pPr>
        <w:ind w:left="21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>
    <w:nsid w:val="3BB00F2B"/>
    <w:multiLevelType w:val="multilevel"/>
    <w:tmpl w:val="540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F51B3F"/>
    <w:multiLevelType w:val="hybridMultilevel"/>
    <w:tmpl w:val="EE221628"/>
    <w:lvl w:ilvl="0" w:tplc="040C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4EE61029"/>
    <w:multiLevelType w:val="hybridMultilevel"/>
    <w:tmpl w:val="A8F68E38"/>
    <w:lvl w:ilvl="0" w:tplc="CBF8851A">
      <w:start w:val="2"/>
      <w:numFmt w:val="bullet"/>
      <w:lvlText w:val="-"/>
      <w:lvlJc w:val="left"/>
      <w:pPr>
        <w:tabs>
          <w:tab w:val="num" w:pos="4151"/>
        </w:tabs>
        <w:ind w:left="4151" w:hanging="10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11"/>
        </w:tabs>
        <w:ind w:left="4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71"/>
        </w:tabs>
        <w:ind w:left="63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31"/>
        </w:tabs>
        <w:ind w:left="85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51"/>
        </w:tabs>
        <w:ind w:left="9251" w:hanging="360"/>
      </w:pPr>
      <w:rPr>
        <w:rFonts w:ascii="Wingdings" w:hAnsi="Wingdings" w:hint="default"/>
      </w:rPr>
    </w:lvl>
  </w:abstractNum>
  <w:abstractNum w:abstractNumId="19">
    <w:nsid w:val="4F6764CB"/>
    <w:multiLevelType w:val="hybridMultilevel"/>
    <w:tmpl w:val="36B87938"/>
    <w:lvl w:ilvl="0" w:tplc="040C000D">
      <w:start w:val="1"/>
      <w:numFmt w:val="bullet"/>
      <w:lvlText w:val="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532A3139"/>
    <w:multiLevelType w:val="hybridMultilevel"/>
    <w:tmpl w:val="A2705584"/>
    <w:lvl w:ilvl="0" w:tplc="040C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1">
    <w:nsid w:val="607B1E5B"/>
    <w:multiLevelType w:val="hybridMultilevel"/>
    <w:tmpl w:val="1AFEF0B6"/>
    <w:lvl w:ilvl="0" w:tplc="A8181690">
      <w:start w:val="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624424A9"/>
    <w:multiLevelType w:val="hybridMultilevel"/>
    <w:tmpl w:val="5B16F0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908B7"/>
    <w:multiLevelType w:val="multilevel"/>
    <w:tmpl w:val="282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7148B1"/>
    <w:multiLevelType w:val="hybridMultilevel"/>
    <w:tmpl w:val="76AAE666"/>
    <w:lvl w:ilvl="0" w:tplc="3A205FB0">
      <w:start w:val="6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5">
    <w:nsid w:val="6DDC534C"/>
    <w:multiLevelType w:val="hybridMultilevel"/>
    <w:tmpl w:val="1AFEF0B6"/>
    <w:lvl w:ilvl="0" w:tplc="040C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>
    <w:nsid w:val="72393D2D"/>
    <w:multiLevelType w:val="hybridMultilevel"/>
    <w:tmpl w:val="AE68496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26015C5"/>
    <w:multiLevelType w:val="hybridMultilevel"/>
    <w:tmpl w:val="9D4AC5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15171C"/>
    <w:multiLevelType w:val="hybridMultilevel"/>
    <w:tmpl w:val="8FA8B37C"/>
    <w:lvl w:ilvl="0" w:tplc="040C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>
    <w:nsid w:val="748E4D59"/>
    <w:multiLevelType w:val="hybridMultilevel"/>
    <w:tmpl w:val="3006E508"/>
    <w:lvl w:ilvl="0" w:tplc="040C0015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>
    <w:nsid w:val="758B36AD"/>
    <w:multiLevelType w:val="hybridMultilevel"/>
    <w:tmpl w:val="4E101F0E"/>
    <w:lvl w:ilvl="0" w:tplc="040C000D">
      <w:start w:val="1"/>
      <w:numFmt w:val="bullet"/>
      <w:lvlText w:val="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1">
    <w:nsid w:val="77000DE8"/>
    <w:multiLevelType w:val="hybridMultilevel"/>
    <w:tmpl w:val="093237E8"/>
    <w:lvl w:ilvl="0" w:tplc="5414E25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2">
    <w:nsid w:val="77752195"/>
    <w:multiLevelType w:val="hybridMultilevel"/>
    <w:tmpl w:val="2440FCF0"/>
    <w:lvl w:ilvl="0" w:tplc="F5F41EAE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3">
    <w:nsid w:val="7797286E"/>
    <w:multiLevelType w:val="hybridMultilevel"/>
    <w:tmpl w:val="D1B0DB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B80302"/>
    <w:multiLevelType w:val="hybridMultilevel"/>
    <w:tmpl w:val="0268B0A0"/>
    <w:lvl w:ilvl="0" w:tplc="CBF8851A">
      <w:start w:val="2"/>
      <w:numFmt w:val="bullet"/>
      <w:lvlText w:val="-"/>
      <w:lvlJc w:val="left"/>
      <w:pPr>
        <w:tabs>
          <w:tab w:val="num" w:pos="5002"/>
        </w:tabs>
        <w:ind w:left="5002" w:hanging="102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79F915B9"/>
    <w:multiLevelType w:val="hybridMultilevel"/>
    <w:tmpl w:val="0F4091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3A5DAF"/>
    <w:multiLevelType w:val="hybridMultilevel"/>
    <w:tmpl w:val="932CAA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36"/>
  </w:num>
  <w:num w:numId="4">
    <w:abstractNumId w:val="32"/>
  </w:num>
  <w:num w:numId="5">
    <w:abstractNumId w:val="12"/>
  </w:num>
  <w:num w:numId="6">
    <w:abstractNumId w:val="13"/>
  </w:num>
  <w:num w:numId="7">
    <w:abstractNumId w:val="7"/>
  </w:num>
  <w:num w:numId="8">
    <w:abstractNumId w:val="24"/>
  </w:num>
  <w:num w:numId="9">
    <w:abstractNumId w:val="4"/>
  </w:num>
  <w:num w:numId="10">
    <w:abstractNumId w:val="31"/>
  </w:num>
  <w:num w:numId="11">
    <w:abstractNumId w:val="5"/>
  </w:num>
  <w:num w:numId="12">
    <w:abstractNumId w:val="20"/>
  </w:num>
  <w:num w:numId="13">
    <w:abstractNumId w:val="8"/>
  </w:num>
  <w:num w:numId="14">
    <w:abstractNumId w:val="25"/>
  </w:num>
  <w:num w:numId="15">
    <w:abstractNumId w:val="21"/>
  </w:num>
  <w:num w:numId="16">
    <w:abstractNumId w:val="17"/>
  </w:num>
  <w:num w:numId="17">
    <w:abstractNumId w:val="19"/>
  </w:num>
  <w:num w:numId="18">
    <w:abstractNumId w:val="30"/>
  </w:num>
  <w:num w:numId="19">
    <w:abstractNumId w:val="14"/>
  </w:num>
  <w:num w:numId="20">
    <w:abstractNumId w:val="28"/>
  </w:num>
  <w:num w:numId="21">
    <w:abstractNumId w:val="6"/>
  </w:num>
  <w:num w:numId="22">
    <w:abstractNumId w:val="23"/>
  </w:num>
  <w:num w:numId="23">
    <w:abstractNumId w:val="26"/>
  </w:num>
  <w:num w:numId="24">
    <w:abstractNumId w:val="1"/>
  </w:num>
  <w:num w:numId="25">
    <w:abstractNumId w:val="3"/>
  </w:num>
  <w:num w:numId="26">
    <w:abstractNumId w:val="35"/>
  </w:num>
  <w:num w:numId="27">
    <w:abstractNumId w:val="27"/>
  </w:num>
  <w:num w:numId="28">
    <w:abstractNumId w:val="33"/>
  </w:num>
  <w:num w:numId="29">
    <w:abstractNumId w:val="22"/>
  </w:num>
  <w:num w:numId="30">
    <w:abstractNumId w:val="16"/>
  </w:num>
  <w:num w:numId="31">
    <w:abstractNumId w:val="0"/>
  </w:num>
  <w:num w:numId="32">
    <w:abstractNumId w:val="10"/>
  </w:num>
  <w:num w:numId="33">
    <w:abstractNumId w:val="9"/>
  </w:num>
  <w:num w:numId="34">
    <w:abstractNumId w:val="11"/>
  </w:num>
  <w:num w:numId="35">
    <w:abstractNumId w:val="29"/>
  </w:num>
  <w:num w:numId="36">
    <w:abstractNumId w:val="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5E"/>
    <w:rsid w:val="00006685"/>
    <w:rsid w:val="00007B7F"/>
    <w:rsid w:val="00012C03"/>
    <w:rsid w:val="000215B3"/>
    <w:rsid w:val="00025331"/>
    <w:rsid w:val="00025F04"/>
    <w:rsid w:val="00030397"/>
    <w:rsid w:val="00032A5A"/>
    <w:rsid w:val="00032FD8"/>
    <w:rsid w:val="00035A50"/>
    <w:rsid w:val="000375B0"/>
    <w:rsid w:val="0004088B"/>
    <w:rsid w:val="000435C6"/>
    <w:rsid w:val="00050DC2"/>
    <w:rsid w:val="000547E7"/>
    <w:rsid w:val="0005676F"/>
    <w:rsid w:val="00056852"/>
    <w:rsid w:val="00056CC3"/>
    <w:rsid w:val="000622CC"/>
    <w:rsid w:val="000626DD"/>
    <w:rsid w:val="00062C6F"/>
    <w:rsid w:val="00065C49"/>
    <w:rsid w:val="000673DE"/>
    <w:rsid w:val="00070FA2"/>
    <w:rsid w:val="00073EC9"/>
    <w:rsid w:val="00075A49"/>
    <w:rsid w:val="00076DAE"/>
    <w:rsid w:val="00077BA5"/>
    <w:rsid w:val="00080991"/>
    <w:rsid w:val="0008460C"/>
    <w:rsid w:val="00085126"/>
    <w:rsid w:val="00086947"/>
    <w:rsid w:val="00090C85"/>
    <w:rsid w:val="00090F27"/>
    <w:rsid w:val="000A1ED6"/>
    <w:rsid w:val="000A4214"/>
    <w:rsid w:val="000A6904"/>
    <w:rsid w:val="000B4BF5"/>
    <w:rsid w:val="000B798B"/>
    <w:rsid w:val="000C03FE"/>
    <w:rsid w:val="000C127C"/>
    <w:rsid w:val="000C390A"/>
    <w:rsid w:val="000D1CF3"/>
    <w:rsid w:val="000D57A0"/>
    <w:rsid w:val="000E1F17"/>
    <w:rsid w:val="000E3E7D"/>
    <w:rsid w:val="000E742D"/>
    <w:rsid w:val="000F2B2C"/>
    <w:rsid w:val="000F6D22"/>
    <w:rsid w:val="00104686"/>
    <w:rsid w:val="0011393D"/>
    <w:rsid w:val="00113F41"/>
    <w:rsid w:val="00120D31"/>
    <w:rsid w:val="00120E7B"/>
    <w:rsid w:val="00124509"/>
    <w:rsid w:val="00125ADE"/>
    <w:rsid w:val="00126921"/>
    <w:rsid w:val="00134A1A"/>
    <w:rsid w:val="00136035"/>
    <w:rsid w:val="00136483"/>
    <w:rsid w:val="00136521"/>
    <w:rsid w:val="00137082"/>
    <w:rsid w:val="001456B0"/>
    <w:rsid w:val="001553B4"/>
    <w:rsid w:val="00155768"/>
    <w:rsid w:val="00162D7C"/>
    <w:rsid w:val="0016425A"/>
    <w:rsid w:val="001673E1"/>
    <w:rsid w:val="0017082F"/>
    <w:rsid w:val="00174E10"/>
    <w:rsid w:val="0018039D"/>
    <w:rsid w:val="0018087E"/>
    <w:rsid w:val="00184F9C"/>
    <w:rsid w:val="00186014"/>
    <w:rsid w:val="0019059F"/>
    <w:rsid w:val="001905BE"/>
    <w:rsid w:val="00191331"/>
    <w:rsid w:val="00192A84"/>
    <w:rsid w:val="0019402D"/>
    <w:rsid w:val="00195249"/>
    <w:rsid w:val="001A4E4A"/>
    <w:rsid w:val="001A5112"/>
    <w:rsid w:val="001B1F7E"/>
    <w:rsid w:val="001B558C"/>
    <w:rsid w:val="001B76C5"/>
    <w:rsid w:val="001B7C9A"/>
    <w:rsid w:val="001C0B7F"/>
    <w:rsid w:val="001C0CC3"/>
    <w:rsid w:val="001C1908"/>
    <w:rsid w:val="001C5E5B"/>
    <w:rsid w:val="001E0DC8"/>
    <w:rsid w:val="001E46DF"/>
    <w:rsid w:val="001F55FD"/>
    <w:rsid w:val="00203A6F"/>
    <w:rsid w:val="00205564"/>
    <w:rsid w:val="00205FBF"/>
    <w:rsid w:val="00210CE1"/>
    <w:rsid w:val="00214D6C"/>
    <w:rsid w:val="00214F8B"/>
    <w:rsid w:val="0022064F"/>
    <w:rsid w:val="00220B35"/>
    <w:rsid w:val="002215D9"/>
    <w:rsid w:val="0022419B"/>
    <w:rsid w:val="0022657D"/>
    <w:rsid w:val="00234180"/>
    <w:rsid w:val="00236BBA"/>
    <w:rsid w:val="002377F6"/>
    <w:rsid w:val="00242B42"/>
    <w:rsid w:val="002624C1"/>
    <w:rsid w:val="0027162B"/>
    <w:rsid w:val="00271F3A"/>
    <w:rsid w:val="0027435D"/>
    <w:rsid w:val="00274A15"/>
    <w:rsid w:val="00282C93"/>
    <w:rsid w:val="0028310B"/>
    <w:rsid w:val="00284443"/>
    <w:rsid w:val="002855AF"/>
    <w:rsid w:val="002856FA"/>
    <w:rsid w:val="002865C2"/>
    <w:rsid w:val="00291509"/>
    <w:rsid w:val="00294785"/>
    <w:rsid w:val="00296500"/>
    <w:rsid w:val="002B22C9"/>
    <w:rsid w:val="002C0D12"/>
    <w:rsid w:val="002C5722"/>
    <w:rsid w:val="002D10CA"/>
    <w:rsid w:val="002D3859"/>
    <w:rsid w:val="002D6FC8"/>
    <w:rsid w:val="002E07C8"/>
    <w:rsid w:val="002E20C8"/>
    <w:rsid w:val="002E5D81"/>
    <w:rsid w:val="002F230B"/>
    <w:rsid w:val="002F2FB8"/>
    <w:rsid w:val="002F4C38"/>
    <w:rsid w:val="00301928"/>
    <w:rsid w:val="0030211E"/>
    <w:rsid w:val="00303BD0"/>
    <w:rsid w:val="0031137F"/>
    <w:rsid w:val="00311A69"/>
    <w:rsid w:val="00312448"/>
    <w:rsid w:val="00314917"/>
    <w:rsid w:val="003158A2"/>
    <w:rsid w:val="00317B76"/>
    <w:rsid w:val="00320EF6"/>
    <w:rsid w:val="00321AF4"/>
    <w:rsid w:val="0032584A"/>
    <w:rsid w:val="00335ACB"/>
    <w:rsid w:val="00335C15"/>
    <w:rsid w:val="00341652"/>
    <w:rsid w:val="00341726"/>
    <w:rsid w:val="00346826"/>
    <w:rsid w:val="00350018"/>
    <w:rsid w:val="0035355A"/>
    <w:rsid w:val="00355B77"/>
    <w:rsid w:val="003560B7"/>
    <w:rsid w:val="00360D41"/>
    <w:rsid w:val="0036122C"/>
    <w:rsid w:val="00361B78"/>
    <w:rsid w:val="00372E8A"/>
    <w:rsid w:val="00373A47"/>
    <w:rsid w:val="00373B2E"/>
    <w:rsid w:val="00373FA5"/>
    <w:rsid w:val="00376BB5"/>
    <w:rsid w:val="00383B61"/>
    <w:rsid w:val="003851DB"/>
    <w:rsid w:val="003912C8"/>
    <w:rsid w:val="00393958"/>
    <w:rsid w:val="00394997"/>
    <w:rsid w:val="003972A8"/>
    <w:rsid w:val="00397A6B"/>
    <w:rsid w:val="003A1D9E"/>
    <w:rsid w:val="003A4C63"/>
    <w:rsid w:val="003B1C0E"/>
    <w:rsid w:val="003B4FEC"/>
    <w:rsid w:val="003C415E"/>
    <w:rsid w:val="003C47C9"/>
    <w:rsid w:val="003C5EC8"/>
    <w:rsid w:val="003E05F1"/>
    <w:rsid w:val="003F2920"/>
    <w:rsid w:val="003F4FCC"/>
    <w:rsid w:val="003F532F"/>
    <w:rsid w:val="003F6357"/>
    <w:rsid w:val="003F6B6A"/>
    <w:rsid w:val="003F6F0F"/>
    <w:rsid w:val="0040056D"/>
    <w:rsid w:val="00401A5B"/>
    <w:rsid w:val="00403776"/>
    <w:rsid w:val="004043D7"/>
    <w:rsid w:val="00406445"/>
    <w:rsid w:val="00407761"/>
    <w:rsid w:val="004078A3"/>
    <w:rsid w:val="00413480"/>
    <w:rsid w:val="00424A12"/>
    <w:rsid w:val="004266CC"/>
    <w:rsid w:val="0044276C"/>
    <w:rsid w:val="00447EE1"/>
    <w:rsid w:val="00450A01"/>
    <w:rsid w:val="0045144C"/>
    <w:rsid w:val="00452F90"/>
    <w:rsid w:val="0046091F"/>
    <w:rsid w:val="0046261D"/>
    <w:rsid w:val="00462AD2"/>
    <w:rsid w:val="0046672F"/>
    <w:rsid w:val="00467C8E"/>
    <w:rsid w:val="004728BF"/>
    <w:rsid w:val="00475DA1"/>
    <w:rsid w:val="004764E9"/>
    <w:rsid w:val="00477062"/>
    <w:rsid w:val="00485385"/>
    <w:rsid w:val="0048665A"/>
    <w:rsid w:val="0049615F"/>
    <w:rsid w:val="004A461A"/>
    <w:rsid w:val="004B0283"/>
    <w:rsid w:val="004B048D"/>
    <w:rsid w:val="004B59C0"/>
    <w:rsid w:val="004C051E"/>
    <w:rsid w:val="004C12C0"/>
    <w:rsid w:val="004C4EE6"/>
    <w:rsid w:val="004C501D"/>
    <w:rsid w:val="004D1507"/>
    <w:rsid w:val="004E08EC"/>
    <w:rsid w:val="004E0E9B"/>
    <w:rsid w:val="004E1801"/>
    <w:rsid w:val="004E4471"/>
    <w:rsid w:val="004E4F3B"/>
    <w:rsid w:val="004E7011"/>
    <w:rsid w:val="004E75A3"/>
    <w:rsid w:val="004F2175"/>
    <w:rsid w:val="004F7CD7"/>
    <w:rsid w:val="004F7D91"/>
    <w:rsid w:val="00501758"/>
    <w:rsid w:val="005021D5"/>
    <w:rsid w:val="0050299E"/>
    <w:rsid w:val="00507175"/>
    <w:rsid w:val="00515EA6"/>
    <w:rsid w:val="0052194D"/>
    <w:rsid w:val="00522F47"/>
    <w:rsid w:val="00524ACF"/>
    <w:rsid w:val="00531B3B"/>
    <w:rsid w:val="00532AB8"/>
    <w:rsid w:val="00532F01"/>
    <w:rsid w:val="0053642B"/>
    <w:rsid w:val="0054039D"/>
    <w:rsid w:val="00541AA0"/>
    <w:rsid w:val="00541B94"/>
    <w:rsid w:val="00541D00"/>
    <w:rsid w:val="0054375D"/>
    <w:rsid w:val="005449C0"/>
    <w:rsid w:val="00552D86"/>
    <w:rsid w:val="00554760"/>
    <w:rsid w:val="005557FF"/>
    <w:rsid w:val="00556625"/>
    <w:rsid w:val="00557690"/>
    <w:rsid w:val="005579FF"/>
    <w:rsid w:val="00560350"/>
    <w:rsid w:val="0056169A"/>
    <w:rsid w:val="00562700"/>
    <w:rsid w:val="0056752B"/>
    <w:rsid w:val="00574BE2"/>
    <w:rsid w:val="00574EC1"/>
    <w:rsid w:val="005761AB"/>
    <w:rsid w:val="00576868"/>
    <w:rsid w:val="00581990"/>
    <w:rsid w:val="00597469"/>
    <w:rsid w:val="005A1072"/>
    <w:rsid w:val="005A2479"/>
    <w:rsid w:val="005A2961"/>
    <w:rsid w:val="005A40D9"/>
    <w:rsid w:val="005A438B"/>
    <w:rsid w:val="005A756E"/>
    <w:rsid w:val="005B3BCF"/>
    <w:rsid w:val="005B56E0"/>
    <w:rsid w:val="005C0548"/>
    <w:rsid w:val="005C13DA"/>
    <w:rsid w:val="005C17B5"/>
    <w:rsid w:val="005C1BD2"/>
    <w:rsid w:val="005C1D35"/>
    <w:rsid w:val="005C27B1"/>
    <w:rsid w:val="005C538C"/>
    <w:rsid w:val="005C59E6"/>
    <w:rsid w:val="005C6013"/>
    <w:rsid w:val="005D0FCF"/>
    <w:rsid w:val="005D177B"/>
    <w:rsid w:val="005D2B50"/>
    <w:rsid w:val="005D62D8"/>
    <w:rsid w:val="005D6AE0"/>
    <w:rsid w:val="005D6EA8"/>
    <w:rsid w:val="005E08C7"/>
    <w:rsid w:val="005F0718"/>
    <w:rsid w:val="005F2098"/>
    <w:rsid w:val="005F2360"/>
    <w:rsid w:val="005F3B38"/>
    <w:rsid w:val="005F75C5"/>
    <w:rsid w:val="005F7B62"/>
    <w:rsid w:val="00610368"/>
    <w:rsid w:val="00612DB8"/>
    <w:rsid w:val="00616D8A"/>
    <w:rsid w:val="0061799E"/>
    <w:rsid w:val="006244EE"/>
    <w:rsid w:val="006250A7"/>
    <w:rsid w:val="00631283"/>
    <w:rsid w:val="006313CC"/>
    <w:rsid w:val="00631CC4"/>
    <w:rsid w:val="00634559"/>
    <w:rsid w:val="00637275"/>
    <w:rsid w:val="006400B9"/>
    <w:rsid w:val="0064749A"/>
    <w:rsid w:val="006478EA"/>
    <w:rsid w:val="00650F04"/>
    <w:rsid w:val="00650F64"/>
    <w:rsid w:val="0065114C"/>
    <w:rsid w:val="00651DD9"/>
    <w:rsid w:val="00653BB4"/>
    <w:rsid w:val="00653F6F"/>
    <w:rsid w:val="00661D0F"/>
    <w:rsid w:val="00662DCF"/>
    <w:rsid w:val="00672A95"/>
    <w:rsid w:val="00672E6B"/>
    <w:rsid w:val="00677902"/>
    <w:rsid w:val="0068040A"/>
    <w:rsid w:val="00681C4A"/>
    <w:rsid w:val="00684775"/>
    <w:rsid w:val="006A51A4"/>
    <w:rsid w:val="006A7D04"/>
    <w:rsid w:val="006B1537"/>
    <w:rsid w:val="006B1A0F"/>
    <w:rsid w:val="006B3E7F"/>
    <w:rsid w:val="006C0F02"/>
    <w:rsid w:val="006C21D3"/>
    <w:rsid w:val="006C5562"/>
    <w:rsid w:val="006C5D06"/>
    <w:rsid w:val="006C771C"/>
    <w:rsid w:val="006D7104"/>
    <w:rsid w:val="006F0036"/>
    <w:rsid w:val="006F1D04"/>
    <w:rsid w:val="006F2349"/>
    <w:rsid w:val="006F514C"/>
    <w:rsid w:val="006F5C4F"/>
    <w:rsid w:val="006F68E1"/>
    <w:rsid w:val="0070309F"/>
    <w:rsid w:val="007036BF"/>
    <w:rsid w:val="007052A1"/>
    <w:rsid w:val="00706750"/>
    <w:rsid w:val="00707CA9"/>
    <w:rsid w:val="00717544"/>
    <w:rsid w:val="00721EC8"/>
    <w:rsid w:val="00737B4D"/>
    <w:rsid w:val="0074485E"/>
    <w:rsid w:val="007516FE"/>
    <w:rsid w:val="00761E46"/>
    <w:rsid w:val="00763150"/>
    <w:rsid w:val="00767222"/>
    <w:rsid w:val="00770B09"/>
    <w:rsid w:val="00773C4A"/>
    <w:rsid w:val="0077591D"/>
    <w:rsid w:val="007809FA"/>
    <w:rsid w:val="00784FEC"/>
    <w:rsid w:val="00792F2E"/>
    <w:rsid w:val="0079606D"/>
    <w:rsid w:val="007A765F"/>
    <w:rsid w:val="007B18BC"/>
    <w:rsid w:val="007B5D25"/>
    <w:rsid w:val="007B5EB5"/>
    <w:rsid w:val="007B68EA"/>
    <w:rsid w:val="007C0344"/>
    <w:rsid w:val="007C0E86"/>
    <w:rsid w:val="007C12A5"/>
    <w:rsid w:val="007C16A8"/>
    <w:rsid w:val="007C3A28"/>
    <w:rsid w:val="007C5578"/>
    <w:rsid w:val="007C69B4"/>
    <w:rsid w:val="007D306D"/>
    <w:rsid w:val="007D3BB7"/>
    <w:rsid w:val="007D72AC"/>
    <w:rsid w:val="007E42B7"/>
    <w:rsid w:val="007F0334"/>
    <w:rsid w:val="007F0FA8"/>
    <w:rsid w:val="007F5E88"/>
    <w:rsid w:val="00803DD9"/>
    <w:rsid w:val="0080482C"/>
    <w:rsid w:val="008117F7"/>
    <w:rsid w:val="008122B1"/>
    <w:rsid w:val="008214C5"/>
    <w:rsid w:val="008219FF"/>
    <w:rsid w:val="00825B66"/>
    <w:rsid w:val="008271A8"/>
    <w:rsid w:val="00834C6F"/>
    <w:rsid w:val="00837FAA"/>
    <w:rsid w:val="00846CE2"/>
    <w:rsid w:val="00851704"/>
    <w:rsid w:val="00852101"/>
    <w:rsid w:val="00854AE8"/>
    <w:rsid w:val="00860EEC"/>
    <w:rsid w:val="00864154"/>
    <w:rsid w:val="0086417C"/>
    <w:rsid w:val="0086524A"/>
    <w:rsid w:val="00867BAC"/>
    <w:rsid w:val="00870767"/>
    <w:rsid w:val="008721D3"/>
    <w:rsid w:val="00872BB5"/>
    <w:rsid w:val="00876572"/>
    <w:rsid w:val="00880459"/>
    <w:rsid w:val="00884A02"/>
    <w:rsid w:val="00886B62"/>
    <w:rsid w:val="00894488"/>
    <w:rsid w:val="0089482B"/>
    <w:rsid w:val="0089652B"/>
    <w:rsid w:val="008971C4"/>
    <w:rsid w:val="00897CB4"/>
    <w:rsid w:val="008B6A09"/>
    <w:rsid w:val="008C02FA"/>
    <w:rsid w:val="008C2316"/>
    <w:rsid w:val="008C297D"/>
    <w:rsid w:val="008C7EAB"/>
    <w:rsid w:val="008D1D1A"/>
    <w:rsid w:val="008D5717"/>
    <w:rsid w:val="008D6F42"/>
    <w:rsid w:val="008E135D"/>
    <w:rsid w:val="008E2F3A"/>
    <w:rsid w:val="008F0110"/>
    <w:rsid w:val="008F0586"/>
    <w:rsid w:val="008F5703"/>
    <w:rsid w:val="008F76F9"/>
    <w:rsid w:val="00906924"/>
    <w:rsid w:val="00910402"/>
    <w:rsid w:val="00911874"/>
    <w:rsid w:val="009207CC"/>
    <w:rsid w:val="009369B0"/>
    <w:rsid w:val="009425A2"/>
    <w:rsid w:val="00945E5E"/>
    <w:rsid w:val="009460D1"/>
    <w:rsid w:val="0094695C"/>
    <w:rsid w:val="00950642"/>
    <w:rsid w:val="0095394D"/>
    <w:rsid w:val="009542E1"/>
    <w:rsid w:val="00955C0A"/>
    <w:rsid w:val="00960925"/>
    <w:rsid w:val="00962C20"/>
    <w:rsid w:val="00966BB5"/>
    <w:rsid w:val="0097699C"/>
    <w:rsid w:val="00977D13"/>
    <w:rsid w:val="009830E7"/>
    <w:rsid w:val="0098758D"/>
    <w:rsid w:val="00991CBD"/>
    <w:rsid w:val="009A1769"/>
    <w:rsid w:val="009A2574"/>
    <w:rsid w:val="009A2F1B"/>
    <w:rsid w:val="009A3F80"/>
    <w:rsid w:val="009A4ED2"/>
    <w:rsid w:val="009B07CC"/>
    <w:rsid w:val="009B0C67"/>
    <w:rsid w:val="009B774B"/>
    <w:rsid w:val="009C06B6"/>
    <w:rsid w:val="009C4244"/>
    <w:rsid w:val="009C5193"/>
    <w:rsid w:val="009C5E86"/>
    <w:rsid w:val="009C603B"/>
    <w:rsid w:val="009C6053"/>
    <w:rsid w:val="009D35CF"/>
    <w:rsid w:val="009D55F7"/>
    <w:rsid w:val="009D5819"/>
    <w:rsid w:val="009D622D"/>
    <w:rsid w:val="009E46A9"/>
    <w:rsid w:val="009F0696"/>
    <w:rsid w:val="009F0B57"/>
    <w:rsid w:val="009F22AE"/>
    <w:rsid w:val="009F27C7"/>
    <w:rsid w:val="009F6D4D"/>
    <w:rsid w:val="00A002D7"/>
    <w:rsid w:val="00A01928"/>
    <w:rsid w:val="00A07AFC"/>
    <w:rsid w:val="00A161DC"/>
    <w:rsid w:val="00A16AD4"/>
    <w:rsid w:val="00A17F49"/>
    <w:rsid w:val="00A20602"/>
    <w:rsid w:val="00A21389"/>
    <w:rsid w:val="00A21E51"/>
    <w:rsid w:val="00A23472"/>
    <w:rsid w:val="00A277B3"/>
    <w:rsid w:val="00A304BB"/>
    <w:rsid w:val="00A3338A"/>
    <w:rsid w:val="00A33AE8"/>
    <w:rsid w:val="00A34163"/>
    <w:rsid w:val="00A41858"/>
    <w:rsid w:val="00A46042"/>
    <w:rsid w:val="00A537C4"/>
    <w:rsid w:val="00A55D4D"/>
    <w:rsid w:val="00A611AF"/>
    <w:rsid w:val="00A62C2D"/>
    <w:rsid w:val="00A65462"/>
    <w:rsid w:val="00A66E2E"/>
    <w:rsid w:val="00A81BD4"/>
    <w:rsid w:val="00A848F6"/>
    <w:rsid w:val="00A87AFD"/>
    <w:rsid w:val="00A90BD9"/>
    <w:rsid w:val="00A93755"/>
    <w:rsid w:val="00A93A74"/>
    <w:rsid w:val="00A93F29"/>
    <w:rsid w:val="00AA2B44"/>
    <w:rsid w:val="00AA3E0B"/>
    <w:rsid w:val="00AB03A5"/>
    <w:rsid w:val="00AB2B7E"/>
    <w:rsid w:val="00AC3690"/>
    <w:rsid w:val="00AC3947"/>
    <w:rsid w:val="00AD1ACD"/>
    <w:rsid w:val="00AE4798"/>
    <w:rsid w:val="00AE5916"/>
    <w:rsid w:val="00AF77DF"/>
    <w:rsid w:val="00B16FB0"/>
    <w:rsid w:val="00B31A89"/>
    <w:rsid w:val="00B3365B"/>
    <w:rsid w:val="00B36730"/>
    <w:rsid w:val="00B40EF8"/>
    <w:rsid w:val="00B43DA0"/>
    <w:rsid w:val="00B44BC0"/>
    <w:rsid w:val="00B469FA"/>
    <w:rsid w:val="00B472F7"/>
    <w:rsid w:val="00B52404"/>
    <w:rsid w:val="00B548AE"/>
    <w:rsid w:val="00B54F60"/>
    <w:rsid w:val="00B57A50"/>
    <w:rsid w:val="00B60CB2"/>
    <w:rsid w:val="00B62481"/>
    <w:rsid w:val="00B66C71"/>
    <w:rsid w:val="00B7256A"/>
    <w:rsid w:val="00B75881"/>
    <w:rsid w:val="00B76243"/>
    <w:rsid w:val="00B80F38"/>
    <w:rsid w:val="00B8199A"/>
    <w:rsid w:val="00B83ED3"/>
    <w:rsid w:val="00B846F2"/>
    <w:rsid w:val="00B84A9C"/>
    <w:rsid w:val="00B85724"/>
    <w:rsid w:val="00B86DBA"/>
    <w:rsid w:val="00B9156A"/>
    <w:rsid w:val="00B93D03"/>
    <w:rsid w:val="00B96336"/>
    <w:rsid w:val="00BA1EE5"/>
    <w:rsid w:val="00BA24D9"/>
    <w:rsid w:val="00BB70EE"/>
    <w:rsid w:val="00BB78D6"/>
    <w:rsid w:val="00BC16F1"/>
    <w:rsid w:val="00BC2381"/>
    <w:rsid w:val="00BC4732"/>
    <w:rsid w:val="00BC7263"/>
    <w:rsid w:val="00BD177B"/>
    <w:rsid w:val="00BD1A4A"/>
    <w:rsid w:val="00BD3979"/>
    <w:rsid w:val="00BD73CA"/>
    <w:rsid w:val="00BE01B9"/>
    <w:rsid w:val="00BE1B1D"/>
    <w:rsid w:val="00BE67DC"/>
    <w:rsid w:val="00BF0A1C"/>
    <w:rsid w:val="00C00147"/>
    <w:rsid w:val="00C05409"/>
    <w:rsid w:val="00C05A58"/>
    <w:rsid w:val="00C06E2A"/>
    <w:rsid w:val="00C12595"/>
    <w:rsid w:val="00C14236"/>
    <w:rsid w:val="00C2349E"/>
    <w:rsid w:val="00C312FA"/>
    <w:rsid w:val="00C50A73"/>
    <w:rsid w:val="00C50E95"/>
    <w:rsid w:val="00C51205"/>
    <w:rsid w:val="00C51FEF"/>
    <w:rsid w:val="00C5361F"/>
    <w:rsid w:val="00C56B23"/>
    <w:rsid w:val="00C5744D"/>
    <w:rsid w:val="00C61025"/>
    <w:rsid w:val="00C62541"/>
    <w:rsid w:val="00C63BA8"/>
    <w:rsid w:val="00C64518"/>
    <w:rsid w:val="00C66C17"/>
    <w:rsid w:val="00C6763E"/>
    <w:rsid w:val="00C71D8D"/>
    <w:rsid w:val="00C75802"/>
    <w:rsid w:val="00C801E8"/>
    <w:rsid w:val="00C8039B"/>
    <w:rsid w:val="00C82B17"/>
    <w:rsid w:val="00C85929"/>
    <w:rsid w:val="00C8634A"/>
    <w:rsid w:val="00C927B5"/>
    <w:rsid w:val="00C93F64"/>
    <w:rsid w:val="00C941B2"/>
    <w:rsid w:val="00C95ADD"/>
    <w:rsid w:val="00C96485"/>
    <w:rsid w:val="00C97F27"/>
    <w:rsid w:val="00CA2F2C"/>
    <w:rsid w:val="00CA3E05"/>
    <w:rsid w:val="00CA427D"/>
    <w:rsid w:val="00CA6503"/>
    <w:rsid w:val="00CA681A"/>
    <w:rsid w:val="00CB223E"/>
    <w:rsid w:val="00CB2718"/>
    <w:rsid w:val="00CB41D9"/>
    <w:rsid w:val="00CC298F"/>
    <w:rsid w:val="00CD2018"/>
    <w:rsid w:val="00CD2484"/>
    <w:rsid w:val="00CD3031"/>
    <w:rsid w:val="00CD3A1F"/>
    <w:rsid w:val="00CD6089"/>
    <w:rsid w:val="00CD6792"/>
    <w:rsid w:val="00CE3F70"/>
    <w:rsid w:val="00CE6426"/>
    <w:rsid w:val="00CF0028"/>
    <w:rsid w:val="00CF0F0B"/>
    <w:rsid w:val="00CF2236"/>
    <w:rsid w:val="00D03E1F"/>
    <w:rsid w:val="00D06B73"/>
    <w:rsid w:val="00D12A90"/>
    <w:rsid w:val="00D13F19"/>
    <w:rsid w:val="00D14605"/>
    <w:rsid w:val="00D14C8B"/>
    <w:rsid w:val="00D212BE"/>
    <w:rsid w:val="00D21FE0"/>
    <w:rsid w:val="00D24BB2"/>
    <w:rsid w:val="00D272AA"/>
    <w:rsid w:val="00D34195"/>
    <w:rsid w:val="00D346DC"/>
    <w:rsid w:val="00D3698B"/>
    <w:rsid w:val="00D4260B"/>
    <w:rsid w:val="00D44242"/>
    <w:rsid w:val="00D47FB3"/>
    <w:rsid w:val="00D50A35"/>
    <w:rsid w:val="00D5260C"/>
    <w:rsid w:val="00D557AA"/>
    <w:rsid w:val="00D57DA5"/>
    <w:rsid w:val="00D60204"/>
    <w:rsid w:val="00D612B7"/>
    <w:rsid w:val="00D61483"/>
    <w:rsid w:val="00D62560"/>
    <w:rsid w:val="00D62730"/>
    <w:rsid w:val="00D66096"/>
    <w:rsid w:val="00D7275A"/>
    <w:rsid w:val="00D739EE"/>
    <w:rsid w:val="00D76BAD"/>
    <w:rsid w:val="00D80710"/>
    <w:rsid w:val="00D8381D"/>
    <w:rsid w:val="00D83D48"/>
    <w:rsid w:val="00D858A6"/>
    <w:rsid w:val="00D860A2"/>
    <w:rsid w:val="00D86A39"/>
    <w:rsid w:val="00D91BCA"/>
    <w:rsid w:val="00D96541"/>
    <w:rsid w:val="00DA3322"/>
    <w:rsid w:val="00DB0377"/>
    <w:rsid w:val="00DB4165"/>
    <w:rsid w:val="00DB7013"/>
    <w:rsid w:val="00DC0670"/>
    <w:rsid w:val="00DC2E3B"/>
    <w:rsid w:val="00DC392C"/>
    <w:rsid w:val="00DC395F"/>
    <w:rsid w:val="00DC3FFC"/>
    <w:rsid w:val="00DC559F"/>
    <w:rsid w:val="00DD2296"/>
    <w:rsid w:val="00DD299C"/>
    <w:rsid w:val="00DD2B29"/>
    <w:rsid w:val="00DD355A"/>
    <w:rsid w:val="00DD4983"/>
    <w:rsid w:val="00DE3F71"/>
    <w:rsid w:val="00DF3E62"/>
    <w:rsid w:val="00DF55D0"/>
    <w:rsid w:val="00DF5DFA"/>
    <w:rsid w:val="00DF736A"/>
    <w:rsid w:val="00DF7B8E"/>
    <w:rsid w:val="00E00C71"/>
    <w:rsid w:val="00E0176B"/>
    <w:rsid w:val="00E02D20"/>
    <w:rsid w:val="00E0367B"/>
    <w:rsid w:val="00E051E1"/>
    <w:rsid w:val="00E10C90"/>
    <w:rsid w:val="00E16D29"/>
    <w:rsid w:val="00E1717D"/>
    <w:rsid w:val="00E236BC"/>
    <w:rsid w:val="00E253A3"/>
    <w:rsid w:val="00E41EE7"/>
    <w:rsid w:val="00E42D3A"/>
    <w:rsid w:val="00E4512C"/>
    <w:rsid w:val="00E476D8"/>
    <w:rsid w:val="00E556EA"/>
    <w:rsid w:val="00E56B7F"/>
    <w:rsid w:val="00E57C78"/>
    <w:rsid w:val="00E66935"/>
    <w:rsid w:val="00E67726"/>
    <w:rsid w:val="00E71345"/>
    <w:rsid w:val="00E749D3"/>
    <w:rsid w:val="00E81E59"/>
    <w:rsid w:val="00E832A2"/>
    <w:rsid w:val="00E840FB"/>
    <w:rsid w:val="00E8555A"/>
    <w:rsid w:val="00E85564"/>
    <w:rsid w:val="00E87F86"/>
    <w:rsid w:val="00E91CF2"/>
    <w:rsid w:val="00E927F1"/>
    <w:rsid w:val="00E93A16"/>
    <w:rsid w:val="00E96876"/>
    <w:rsid w:val="00E97BFE"/>
    <w:rsid w:val="00EA227E"/>
    <w:rsid w:val="00EA2405"/>
    <w:rsid w:val="00EA50BB"/>
    <w:rsid w:val="00EA5B7B"/>
    <w:rsid w:val="00EA7D2C"/>
    <w:rsid w:val="00EB04B8"/>
    <w:rsid w:val="00EB2208"/>
    <w:rsid w:val="00EB6882"/>
    <w:rsid w:val="00EB6E00"/>
    <w:rsid w:val="00EC45AA"/>
    <w:rsid w:val="00ED04AA"/>
    <w:rsid w:val="00ED4133"/>
    <w:rsid w:val="00ED59BB"/>
    <w:rsid w:val="00EE26FC"/>
    <w:rsid w:val="00EE35E1"/>
    <w:rsid w:val="00EE7EEE"/>
    <w:rsid w:val="00EF1930"/>
    <w:rsid w:val="00EF77D9"/>
    <w:rsid w:val="00F012F1"/>
    <w:rsid w:val="00F139C5"/>
    <w:rsid w:val="00F16EF8"/>
    <w:rsid w:val="00F231C0"/>
    <w:rsid w:val="00F2340C"/>
    <w:rsid w:val="00F251DF"/>
    <w:rsid w:val="00F303B3"/>
    <w:rsid w:val="00F34541"/>
    <w:rsid w:val="00F40D05"/>
    <w:rsid w:val="00F40D46"/>
    <w:rsid w:val="00F4309B"/>
    <w:rsid w:val="00F5228E"/>
    <w:rsid w:val="00F6067E"/>
    <w:rsid w:val="00F6737E"/>
    <w:rsid w:val="00F67A01"/>
    <w:rsid w:val="00F729DB"/>
    <w:rsid w:val="00F7459F"/>
    <w:rsid w:val="00F7712B"/>
    <w:rsid w:val="00F83CE2"/>
    <w:rsid w:val="00F84B79"/>
    <w:rsid w:val="00F85D62"/>
    <w:rsid w:val="00F92C43"/>
    <w:rsid w:val="00F95FA4"/>
    <w:rsid w:val="00FA3607"/>
    <w:rsid w:val="00FA6181"/>
    <w:rsid w:val="00FA6771"/>
    <w:rsid w:val="00FC02F0"/>
    <w:rsid w:val="00FC1A73"/>
    <w:rsid w:val="00FE0601"/>
    <w:rsid w:val="00FE19FF"/>
    <w:rsid w:val="00FE577D"/>
    <w:rsid w:val="00FE5F02"/>
    <w:rsid w:val="00FE6E7F"/>
    <w:rsid w:val="00FE6E99"/>
    <w:rsid w:val="00FF6CA3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16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/>
      <w:jc w:val="both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pPr>
      <w:keepNext/>
      <w:spacing w:before="360" w:after="100" w:afterAutospacing="1"/>
      <w:ind w:firstLine="851"/>
      <w:jc w:val="both"/>
      <w:outlineLvl w:val="1"/>
    </w:pPr>
  </w:style>
  <w:style w:type="paragraph" w:styleId="Titre3">
    <w:name w:val="heading 3"/>
    <w:basedOn w:val="Normal"/>
    <w:next w:val="Normal"/>
    <w:link w:val="Titre3Car"/>
    <w:qFormat/>
    <w:pPr>
      <w:keepNext/>
      <w:spacing w:before="480" w:after="360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spacing w:before="120"/>
      <w:ind w:left="1713" w:hanging="862"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</w:style>
  <w:style w:type="paragraph" w:styleId="Titre6">
    <w:name w:val="heading 6"/>
    <w:basedOn w:val="Normal"/>
    <w:next w:val="Normal"/>
    <w:qFormat/>
    <w:pPr>
      <w:keepNext/>
      <w:ind w:left="993" w:hanging="993"/>
      <w:jc w:val="both"/>
      <w:outlineLvl w:val="5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993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Retraitcorpsdetexte2">
    <w:name w:val="Body Text Indent 2"/>
    <w:basedOn w:val="Normal"/>
    <w:pPr>
      <w:ind w:firstLine="567"/>
      <w:jc w:val="both"/>
    </w:pPr>
  </w:style>
  <w:style w:type="paragraph" w:styleId="Retraitcorpsdetexte3">
    <w:name w:val="Body Text Indent 3"/>
    <w:basedOn w:val="Normal"/>
    <w:link w:val="Retraitcorpsdetexte3Car"/>
    <w:pPr>
      <w:spacing w:after="120"/>
      <w:ind w:right="141" w:firstLine="992"/>
      <w:jc w:val="both"/>
    </w:pPr>
    <w:rPr>
      <w:b/>
      <w:i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sz w:val="32"/>
      <w:szCs w:val="24"/>
    </w:rPr>
  </w:style>
  <w:style w:type="character" w:customStyle="1" w:styleId="Titre1Car">
    <w:name w:val="Titre 1 Car"/>
    <w:link w:val="Titre1"/>
    <w:rsid w:val="0098758D"/>
    <w:rPr>
      <w:rFonts w:ascii="Arial" w:hAnsi="Arial"/>
      <w:b/>
      <w:sz w:val="24"/>
      <w:u w:val="single"/>
    </w:rPr>
  </w:style>
  <w:style w:type="character" w:customStyle="1" w:styleId="Retraitcorpsdetexte3Car">
    <w:name w:val="Retrait corps de texte 3 Car"/>
    <w:link w:val="Retraitcorpsdetexte3"/>
    <w:rsid w:val="0098758D"/>
    <w:rPr>
      <w:b/>
      <w:i/>
      <w:sz w:val="24"/>
    </w:rPr>
  </w:style>
  <w:style w:type="paragraph" w:styleId="En-tte">
    <w:name w:val="header"/>
    <w:basedOn w:val="Normal"/>
    <w:link w:val="En-tteCar"/>
    <w:rsid w:val="00D526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260C"/>
    <w:rPr>
      <w:sz w:val="24"/>
    </w:rPr>
  </w:style>
  <w:style w:type="paragraph" w:styleId="Pieddepage">
    <w:name w:val="footer"/>
    <w:basedOn w:val="Normal"/>
    <w:link w:val="PieddepageCar"/>
    <w:uiPriority w:val="99"/>
    <w:rsid w:val="00D526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260C"/>
    <w:rPr>
      <w:sz w:val="24"/>
    </w:rPr>
  </w:style>
  <w:style w:type="character" w:customStyle="1" w:styleId="Titre3Car">
    <w:name w:val="Titre 3 Car"/>
    <w:link w:val="Titre3"/>
    <w:rsid w:val="002C0D12"/>
    <w:rPr>
      <w:b/>
      <w:sz w:val="24"/>
      <w:u w:val="single"/>
    </w:rPr>
  </w:style>
  <w:style w:type="character" w:styleId="Lienhypertexte">
    <w:name w:val="Hyperlink"/>
    <w:rsid w:val="00C96485"/>
    <w:rPr>
      <w:color w:val="0563C1"/>
      <w:u w:val="single"/>
    </w:rPr>
  </w:style>
  <w:style w:type="character" w:customStyle="1" w:styleId="apple-converted-space">
    <w:name w:val="apple-converted-space"/>
    <w:rsid w:val="00651DD9"/>
  </w:style>
  <w:style w:type="character" w:styleId="lev">
    <w:name w:val="Strong"/>
    <w:uiPriority w:val="22"/>
    <w:qFormat/>
    <w:rsid w:val="00CD6792"/>
    <w:rPr>
      <w:b/>
      <w:bCs/>
    </w:rPr>
  </w:style>
  <w:style w:type="paragraph" w:styleId="Paragraphedeliste">
    <w:name w:val="List Paragraph"/>
    <w:basedOn w:val="Normal"/>
    <w:uiPriority w:val="34"/>
    <w:qFormat/>
    <w:rsid w:val="00C56B23"/>
    <w:pPr>
      <w:ind w:left="708"/>
    </w:pPr>
  </w:style>
  <w:style w:type="paragraph" w:styleId="NormalWeb">
    <w:name w:val="Normal (Web)"/>
    <w:basedOn w:val="Normal"/>
    <w:uiPriority w:val="99"/>
    <w:unhideWhenUsed/>
    <w:rsid w:val="00C06E2A"/>
    <w:pPr>
      <w:overflowPunct/>
      <w:autoSpaceDE/>
      <w:autoSpaceDN/>
      <w:adjustRightInd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416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/>
      <w:jc w:val="both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qFormat/>
    <w:pPr>
      <w:keepNext/>
      <w:spacing w:before="360" w:after="100" w:afterAutospacing="1"/>
      <w:ind w:firstLine="851"/>
      <w:jc w:val="both"/>
      <w:outlineLvl w:val="1"/>
    </w:pPr>
  </w:style>
  <w:style w:type="paragraph" w:styleId="Titre3">
    <w:name w:val="heading 3"/>
    <w:basedOn w:val="Normal"/>
    <w:next w:val="Normal"/>
    <w:link w:val="Titre3Car"/>
    <w:qFormat/>
    <w:pPr>
      <w:keepNext/>
      <w:spacing w:before="480" w:after="360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spacing w:before="120"/>
      <w:ind w:left="1713" w:hanging="862"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</w:style>
  <w:style w:type="paragraph" w:styleId="Titre6">
    <w:name w:val="heading 6"/>
    <w:basedOn w:val="Normal"/>
    <w:next w:val="Normal"/>
    <w:qFormat/>
    <w:pPr>
      <w:keepNext/>
      <w:ind w:left="993" w:hanging="993"/>
      <w:jc w:val="both"/>
      <w:outlineLvl w:val="5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993"/>
      <w:jc w:val="both"/>
    </w:pPr>
  </w:style>
  <w:style w:type="paragraph" w:styleId="Corpsdetexte">
    <w:name w:val="Body Text"/>
    <w:basedOn w:val="Normal"/>
    <w:pPr>
      <w:jc w:val="both"/>
    </w:pPr>
  </w:style>
  <w:style w:type="paragraph" w:styleId="Retraitcorpsdetexte2">
    <w:name w:val="Body Text Indent 2"/>
    <w:basedOn w:val="Normal"/>
    <w:pPr>
      <w:ind w:firstLine="567"/>
      <w:jc w:val="both"/>
    </w:pPr>
  </w:style>
  <w:style w:type="paragraph" w:styleId="Retraitcorpsdetexte3">
    <w:name w:val="Body Text Indent 3"/>
    <w:basedOn w:val="Normal"/>
    <w:link w:val="Retraitcorpsdetexte3Car"/>
    <w:pPr>
      <w:spacing w:after="120"/>
      <w:ind w:right="141" w:firstLine="992"/>
      <w:jc w:val="both"/>
    </w:pPr>
    <w:rPr>
      <w:b/>
      <w:i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sz w:val="32"/>
      <w:szCs w:val="24"/>
    </w:rPr>
  </w:style>
  <w:style w:type="character" w:customStyle="1" w:styleId="Titre1Car">
    <w:name w:val="Titre 1 Car"/>
    <w:link w:val="Titre1"/>
    <w:rsid w:val="0098758D"/>
    <w:rPr>
      <w:rFonts w:ascii="Arial" w:hAnsi="Arial"/>
      <w:b/>
      <w:sz w:val="24"/>
      <w:u w:val="single"/>
    </w:rPr>
  </w:style>
  <w:style w:type="character" w:customStyle="1" w:styleId="Retraitcorpsdetexte3Car">
    <w:name w:val="Retrait corps de texte 3 Car"/>
    <w:link w:val="Retraitcorpsdetexte3"/>
    <w:rsid w:val="0098758D"/>
    <w:rPr>
      <w:b/>
      <w:i/>
      <w:sz w:val="24"/>
    </w:rPr>
  </w:style>
  <w:style w:type="paragraph" w:styleId="En-tte">
    <w:name w:val="header"/>
    <w:basedOn w:val="Normal"/>
    <w:link w:val="En-tteCar"/>
    <w:rsid w:val="00D526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260C"/>
    <w:rPr>
      <w:sz w:val="24"/>
    </w:rPr>
  </w:style>
  <w:style w:type="paragraph" w:styleId="Pieddepage">
    <w:name w:val="footer"/>
    <w:basedOn w:val="Normal"/>
    <w:link w:val="PieddepageCar"/>
    <w:uiPriority w:val="99"/>
    <w:rsid w:val="00D526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5260C"/>
    <w:rPr>
      <w:sz w:val="24"/>
    </w:rPr>
  </w:style>
  <w:style w:type="character" w:customStyle="1" w:styleId="Titre3Car">
    <w:name w:val="Titre 3 Car"/>
    <w:link w:val="Titre3"/>
    <w:rsid w:val="002C0D12"/>
    <w:rPr>
      <w:b/>
      <w:sz w:val="24"/>
      <w:u w:val="single"/>
    </w:rPr>
  </w:style>
  <w:style w:type="character" w:styleId="Lienhypertexte">
    <w:name w:val="Hyperlink"/>
    <w:rsid w:val="00C96485"/>
    <w:rPr>
      <w:color w:val="0563C1"/>
      <w:u w:val="single"/>
    </w:rPr>
  </w:style>
  <w:style w:type="character" w:customStyle="1" w:styleId="apple-converted-space">
    <w:name w:val="apple-converted-space"/>
    <w:rsid w:val="00651DD9"/>
  </w:style>
  <w:style w:type="character" w:styleId="lev">
    <w:name w:val="Strong"/>
    <w:uiPriority w:val="22"/>
    <w:qFormat/>
    <w:rsid w:val="00CD6792"/>
    <w:rPr>
      <w:b/>
      <w:bCs/>
    </w:rPr>
  </w:style>
  <w:style w:type="paragraph" w:styleId="Paragraphedeliste">
    <w:name w:val="List Paragraph"/>
    <w:basedOn w:val="Normal"/>
    <w:uiPriority w:val="34"/>
    <w:qFormat/>
    <w:rsid w:val="00C56B23"/>
    <w:pPr>
      <w:ind w:left="708"/>
    </w:pPr>
  </w:style>
  <w:style w:type="paragraph" w:styleId="NormalWeb">
    <w:name w:val="Normal (Web)"/>
    <w:basedOn w:val="Normal"/>
    <w:uiPriority w:val="99"/>
    <w:unhideWhenUsed/>
    <w:rsid w:val="00C06E2A"/>
    <w:pPr>
      <w:overflowPunct/>
      <w:autoSpaceDE/>
      <w:autoSpaceDN/>
      <w:adjustRightInd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1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impots.gouv.fr/portail/particulier/revenus-de-capitaux-mobiliers-et-plus-values-mobilier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69747-9BA0-44A0-8D9F-5E8572F2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2213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************************</vt:lpstr>
    </vt:vector>
  </TitlesOfParts>
  <Company>MAIRIE DE SAINTE ADRESSE</Company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************************</dc:title>
  <dc:creator>CCAS</dc:creator>
  <cp:lastModifiedBy>Aurélie Gomez</cp:lastModifiedBy>
  <cp:revision>2</cp:revision>
  <cp:lastPrinted>2021-12-17T07:45:00Z</cp:lastPrinted>
  <dcterms:created xsi:type="dcterms:W3CDTF">2022-01-04T10:29:00Z</dcterms:created>
  <dcterms:modified xsi:type="dcterms:W3CDTF">2022-01-04T10:29:00Z</dcterms:modified>
</cp:coreProperties>
</file>